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320 ET</w:t>
      </w:r>
    </w:p>
    <w:p>
      <w:pPr/>
      <w:r>
        <w:rPr>
          <w:rFonts w:ascii="Arial" w:hAnsi="Arial" w:eastAsia="Arial" w:cs="Arial"/>
          <w:sz w:val="24"/>
          <w:szCs w:val="24"/>
        </w:rPr>
        <w:t xml:space="preserve">Standardní provedení</w:t>
      </w:r>
    </w:p>
    <w:p>
      <w:pPr/>
      <w:r>
        <w:rPr>
          <w:rFonts w:ascii="Arial" w:hAnsi="Arial" w:eastAsia="Arial" w:cs="Arial"/>
          <w:sz w:val="24"/>
          <w:szCs w:val="24"/>
        </w:rPr>
        <w:t xml:space="preserve">S entalpickým výměníkem tepla.</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Vysoce efektivní ventilační přístroj dosahuje energetické třídy A bez volitelného příslušenství.</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68 %.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320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320 ET</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36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4012799952244</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0095.0224</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320 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2024-06-02T22:06:17+00:00</dcterms:created>
  <dcterms:modified xsi:type="dcterms:W3CDTF">2024-06-02T22:06:17+00:00</dcterms:modified>
</cp:coreProperties>
</file>

<file path=docProps/custom.xml><?xml version="1.0" encoding="utf-8"?>
<Properties xmlns="http://schemas.openxmlformats.org/officeDocument/2006/custom-properties" xmlns:vt="http://schemas.openxmlformats.org/officeDocument/2006/docPropsVTypes"/>
</file>