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15</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AC motor</w:t>
      </w:r>
    </w:p>
    <w:p>
      <w:pPr/>
      <w:r>
        <w:rPr>
          <w:rFonts w:ascii="Arial" w:hAnsi="Arial" w:eastAsia="Arial" w:cs="Arial"/>
          <w:sz w:val="24"/>
          <w:szCs w:val="24"/>
        </w:rPr>
        <w:t xml:space="preserve">Speed controllable with 3 stages, option of controlling speed using phase angle or transformer.</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Electrical connection via terminal box integrated in the housing</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15</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655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2.834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52,2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2,76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4012799805380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0080.0538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15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2024-04-18T19:21:55+00:00</dcterms:created>
  <dcterms:modified xsi:type="dcterms:W3CDTF">2024-04-18T19:21:55+00:00</dcterms:modified>
</cp:coreProperties>
</file>

<file path=docProps/custom.xml><?xml version="1.0" encoding="utf-8"?>
<Properties xmlns="http://schemas.openxmlformats.org/officeDocument/2006/custom-properties" xmlns:vt="http://schemas.openxmlformats.org/officeDocument/2006/docPropsVTypes"/>
</file>