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WR 310</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L'appareil de ventilation très efficace atteint le niveau de rendement énergétique A+ sans accessoires optionnels.</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Version standard avec échangeur de chaleur à contre-courant croisé.</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clapets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par débranchement du ventilateur d'air entrant.</w:t>
      </w:r>
    </w:p>
    <w:p>
      <w:pPr/>
      <w:r>
        <w:rPr>
          <w:rFonts w:ascii="Arial" w:hAnsi="Arial" w:eastAsia="Arial" w:cs="Arial"/>
          <w:sz w:val="24"/>
          <w:szCs w:val="24"/>
        </w:rPr>
        <w:t xml:space="preserve">Recommandation : combiner la récupération de chaleur avec un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320 m³/h (WR 310), ou 80 à 470 m³/h (WR 410) à réglage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 310</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-42,5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67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36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4012799952206</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0095.0220</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 310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2024-04-19T04:18:39+00:00</dcterms:created>
  <dcterms:modified xsi:type="dcterms:W3CDTF">2024-04-19T04:18:39+00:00</dcterms:modified>
</cp:coreProperties>
</file>

<file path=docProps/custom.xml><?xml version="1.0" encoding="utf-8"?>
<Properties xmlns="http://schemas.openxmlformats.org/officeDocument/2006/custom-properties" xmlns:vt="http://schemas.openxmlformats.org/officeDocument/2006/docPropsVTypes"/>
</file>