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HY 230 I</w:t>
      </w:r>
    </w:p>
    <w:p>
      <w:pPr/>
      <w:r>
        <w:rPr>
          <w:rFonts w:ascii="Arial" w:hAnsi="Arial" w:eastAsia="Arial" w:cs="Arial"/>
          <w:sz w:val="24"/>
          <w:szCs w:val="24"/>
        </w:rPr>
        <w:t xml:space="preserve">L'hygrostat électronique HY 230 resp. HY 230 I sert à la déshumidification ou à l'humidification de pièces fermées. Il convient à tous les secteurs d'habitation et locaux commerciaux, même pour les pièces humides comme p. ex. salles de bains (lors de l'installation, veillez au type de protection), buanderies et séchoirs.</w:t>
      </w:r>
    </w:p>
    <w:p>
      <w:pPr/>
      <w:r>
        <w:rPr>
          <w:rFonts w:ascii="Arial" w:hAnsi="Arial" w:eastAsia="Arial" w:cs="Arial"/>
          <w:sz w:val="24"/>
          <w:szCs w:val="24"/>
        </w:rPr>
        <w:t xml:space="preserve">Grâce à un détecteur interne, l'hygrostat détecte l'humidité de la pièce et, en fonction de la valeur de consigne réglée, allume ou éteint les ventilateurs, les récupérateurs de chaleur resp. les appareils d'humidification ou de déshumidification.</w:t>
      </w:r>
    </w:p>
    <w:p>
      <w:pPr/>
      <w:r>
        <w:rPr>
          <w:rFonts w:ascii="Arial" w:hAnsi="Arial" w:eastAsia="Arial" w:cs="Arial"/>
          <w:sz w:val="24"/>
          <w:szCs w:val="24"/>
        </w:rPr>
        <w:t xml:space="preserve">L'hygrostat HY 230 resp. HY 230 I est monté soit directement sur une prise encastrée ou au moyen d'un kit de montage apparent APM HY 230 sur le mur.</w:t>
      </w:r>
    </w:p>
    <w:p>
      <w:pPr/>
      <w:r>
        <w:rPr>
          <w:rFonts w:ascii="Arial" w:hAnsi="Arial" w:eastAsia="Arial" w:cs="Arial"/>
          <w:sz w:val="24"/>
          <w:szCs w:val="24"/>
        </w:rPr>
        <w:t xml:space="preserve">Avec un interrupteur DIP sur la platine, il est possible de déterminer le mode de fonctionnement Déshumidification (réglage usine) ou Humidification.</w:t>
      </w:r>
    </w:p>
    <w:p>
      <w:pPr/>
      <w:r>
        <w:rPr>
          <w:rFonts w:ascii="Arial" w:hAnsi="Arial" w:eastAsia="Arial" w:cs="Arial"/>
          <w:sz w:val="24"/>
          <w:szCs w:val="24"/>
        </w:rPr>
        <w:t xml:space="preserve">La LED rouge dans le boîtier indique l'état de commutation du relais.</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HY 230 I</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Sortie: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Plage de mesure humidité relative:</w:t>
            </w:r>
          </w:p>
        </w:tc>
        <w:tc>
          <w:tcPr>
            <w:tcW w:w="3000" w:type="dxa"/>
          </w:tcPr>
          <w:p>
            <w:pPr>
              <w:jc w:val="right"/>
              <w:spacing w:before="0" w:after="0.1"/>
            </w:pPr>
            <w:r>
              <w:rPr>
                <w:rFonts w:ascii="Arial" w:hAnsi="Arial" w:eastAsia="Arial" w:cs="Arial"/>
                <w:sz w:val="20"/>
                <w:szCs w:val="20"/>
              </w:rPr>
              <w:t xml:space="preserve">20 % - 80 %</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apparent</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blanc pur, similaire RAL 9010</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0,07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0,08 kg</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71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27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80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36 mm</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0 °C jusqu'au 50 °C</w:t>
            </w:r>
          </w:p>
        </w:tc>
      </w:tr>
      <w:tr>
        <w:trPr/>
        <w:tc>
          <w:tcPr>
            <w:tcW w:w="3000" w:type="dxa"/>
          </w:tcPr>
          <w:p>
            <w:r>
              <w:rPr>
                <w:rFonts w:ascii="Arial" w:hAnsi="Arial" w:eastAsia="Arial" w:cs="Arial"/>
                <w:sz w:val="20"/>
                <w:szCs w:val="20"/>
              </w:rPr>
              <w:t xml:space="preserve">Élément de commande:</w:t>
            </w:r>
          </w:p>
        </w:tc>
        <w:tc>
          <w:tcPr>
            <w:tcW w:w="3000" w:type="dxa"/>
          </w:tcPr>
          <w:p>
            <w:pPr>
              <w:jc w:val="right"/>
              <w:spacing w:before="0" w:after="0.1"/>
            </w:pPr>
            <w:r>
              <w:rPr>
                <w:rFonts w:ascii="Arial" w:hAnsi="Arial" w:eastAsia="Arial" w:cs="Arial"/>
                <w:sz w:val="20"/>
                <w:szCs w:val="20"/>
              </w:rPr>
              <w:t xml:space="preserve">Intérieurs</w:t>
            </w:r>
          </w:p>
        </w:tc>
      </w:tr>
      <w:tr>
        <w:trPr/>
        <w:tc>
          <w:tcPr>
            <w:tcW w:w="3000" w:type="dxa"/>
          </w:tcPr>
          <w:p>
            <w:r>
              <w:rPr>
                <w:rFonts w:ascii="Arial" w:hAnsi="Arial" w:eastAsia="Arial" w:cs="Arial"/>
                <w:sz w:val="20"/>
                <w:szCs w:val="20"/>
              </w:rPr>
              <w:t xml:space="preserve">Tolérance de la sonde, humidité relative:</w:t>
            </w:r>
          </w:p>
        </w:tc>
        <w:tc>
          <w:tcPr>
            <w:tcW w:w="3000" w:type="dxa"/>
          </w:tcPr>
          <w:p>
            <w:pPr>
              <w:jc w:val="right"/>
              <w:spacing w:before="0" w:after="0.1"/>
            </w:pPr>
            <w:r>
              <w:rPr>
                <w:rFonts w:ascii="Arial" w:hAnsi="Arial" w:eastAsia="Arial" w:cs="Arial"/>
                <w:sz w:val="20"/>
                <w:szCs w:val="20"/>
              </w:rPr>
              <w:t xml:space="preserve">5 %</w:t>
            </w:r>
          </w:p>
        </w:tc>
      </w:tr>
      <w:tr>
        <w:trPr/>
        <w:tc>
          <w:tcPr>
            <w:tcW w:w="3000" w:type="dxa"/>
          </w:tcPr>
          <w:p>
            <w:r>
              <w:rPr>
                <w:rFonts w:ascii="Arial" w:hAnsi="Arial" w:eastAsia="Arial" w:cs="Arial"/>
                <w:sz w:val="20"/>
                <w:szCs w:val="20"/>
              </w:rPr>
              <w:t xml:space="preserve">Différence de commutation, humidité relative:</w:t>
            </w:r>
          </w:p>
        </w:tc>
        <w:tc>
          <w:tcPr>
            <w:tcW w:w="3000" w:type="dxa"/>
          </w:tcPr>
          <w:p>
            <w:pPr>
              <w:jc w:val="right"/>
              <w:spacing w:before="0" w:after="0.1"/>
            </w:pPr>
            <w:r>
              <w:rPr>
                <w:rFonts w:ascii="Arial" w:hAnsi="Arial" w:eastAsia="Arial" w:cs="Arial"/>
                <w:sz w:val="20"/>
                <w:szCs w:val="20"/>
              </w:rPr>
              <w:t xml:space="preserve">2,5 %</w:t>
            </w:r>
          </w:p>
        </w:tc>
      </w:tr>
      <w:tr>
        <w:trPr/>
        <w:tc>
          <w:tcPr>
            <w:tcW w:w="3000" w:type="dxa"/>
          </w:tcPr>
          <w:p>
            <w:r>
              <w:rPr>
                <w:rFonts w:ascii="Arial" w:hAnsi="Arial" w:eastAsia="Arial" w:cs="Arial"/>
                <w:sz w:val="20"/>
                <w:szCs w:val="20"/>
              </w:rPr>
              <w:t xml:space="preserve">Courant commuté max. autorisé:</w:t>
            </w:r>
          </w:p>
        </w:tc>
        <w:tc>
          <w:tcPr>
            <w:tcW w:w="3000" w:type="dxa"/>
          </w:tcPr>
          <w:p>
            <w:pPr>
              <w:jc w:val="right"/>
              <w:spacing w:before="0" w:after="0.1"/>
            </w:pPr>
            <w:r>
              <w:rPr>
                <w:rFonts w:ascii="Arial" w:hAnsi="Arial" w:eastAsia="Arial" w:cs="Arial"/>
                <w:sz w:val="20"/>
                <w:szCs w:val="20"/>
              </w:rPr>
              <w:t xml:space="preserve">10 A / 4 A / cos φ = 1, 230 V AC  / cos φ = 0,6, 230 V AC</w:t>
            </w:r>
          </w:p>
        </w:tc>
      </w:tr>
      <w:tr>
        <w:trPr/>
        <w:tc>
          <w:tcPr>
            <w:tcW w:w="3000" w:type="dxa"/>
          </w:tcPr>
          <w:p>
            <w:r>
              <w:rPr>
                <w:rFonts w:ascii="Arial" w:hAnsi="Arial" w:eastAsia="Arial" w:cs="Arial"/>
                <w:sz w:val="20"/>
                <w:szCs w:val="20"/>
              </w:rPr>
              <w:t xml:space="preserve">Courant de démarrage max. autorisé:</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4012799571278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0157.0127</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HY 230 I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2024-04-19T20:45:19+00:00</dcterms:created>
  <dcterms:modified xsi:type="dcterms:W3CDTF">2024-04-19T20:45:19+00:00</dcterms:modified>
</cp:coreProperties>
</file>

<file path=docProps/custom.xml><?xml version="1.0" encoding="utf-8"?>
<Properties xmlns="http://schemas.openxmlformats.org/officeDocument/2006/custom-properties" xmlns:vt="http://schemas.openxmlformats.org/officeDocument/2006/docPropsVTypes"/>
</file>