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Compensateur de protection incendie BA 100-0</w:t>
      </w:r>
    </w:p>
    <w:p>
      <w:pPr/>
      <w:r>
        <w:rPr>
          <w:rFonts w:ascii="Arial" w:hAnsi="Arial" w:eastAsia="Arial" w:cs="Arial"/>
          <w:sz w:val="24"/>
          <w:szCs w:val="24"/>
        </w:rPr>
        <w:t xml:space="preserve">Seulement utilisable en combinaison avec le système aeroduct de protection contre les incendies.</w:t>
      </w:r>
    </w:p>
    <w:p>
      <w:pPr/>
      <w:r>
        <w:rPr>
          <w:rFonts w:ascii="Arial" w:hAnsi="Arial" w:eastAsia="Arial" w:cs="Arial"/>
          <w:sz w:val="24"/>
          <w:szCs w:val="24"/>
        </w:rPr>
        <w:t xml:space="preserve">Compensateur de protection incendie : à la fois pièce en T et compensateur, ce qui assure la protection incendie sans frais de montage supplémentaires.</w:t>
      </w:r>
    </w:p>
    <w:p>
      <w:pPr/>
      <w:r>
        <w:rPr>
          <w:rFonts w:ascii="Arial" w:hAnsi="Arial" w:eastAsia="Arial" w:cs="Arial"/>
          <w:sz w:val="24"/>
          <w:szCs w:val="24"/>
        </w:rPr>
        <w:t xml:space="preserve">En cas d'incendie, le compensateur de protection incendie permet d'éviter que des forces excessives ne soient exercées sur la gaine d'air.</w:t>
      </w:r>
    </w:p>
    <w:p>
      <w:pPr/>
      <w:r>
        <w:rPr>
          <w:rFonts w:ascii="Arial" w:hAnsi="Arial" w:eastAsia="Arial" w:cs="Arial"/>
          <w:sz w:val="24"/>
          <w:szCs w:val="24"/>
        </w:rPr>
        <w:t xml:space="preserve">Compensateur de protection incendie BA sans pièce de raccordement pour la transition entre les étages dans lesquels l'installation de ventilateurs est interdite ou pour utiliser en cas de détours de la gaine principale.</w:t>
      </w:r>
    </w:p>
    <w:p>
      <w:pPr/>
      <w:r>
        <w:rPr>
          <w:rFonts w:ascii="Arial" w:hAnsi="Arial" w:eastAsia="Arial" w:cs="Arial"/>
          <w:sz w:val="24"/>
          <w:szCs w:val="24"/>
        </w:rPr>
        <w:t xml:space="preserve">Section continue de la gaine principale pour un nettoyage aisé du conduit.</w:t>
      </w:r>
    </w:p>
    <w:p>
      <w:pPr/>
      <w:r>
        <w:rPr>
          <w:rFonts w:ascii="Arial" w:hAnsi="Arial" w:eastAsia="Arial" w:cs="Arial"/>
          <w:sz w:val="24"/>
          <w:szCs w:val="24"/>
        </w:rPr>
        <w:t xml:space="preserve">Homologation générale par le centre technique allemand du bâtiment, N° d'homologation Z-41.6-573 (homologation seulement en combinaison avec les ventilateurs MAICO).</w:t>
      </w:r>
    </w:p>
    <w:p>
      <w:pPr/>
      <w:r>
        <w:rPr>
          <w:rFonts w:ascii="Arial" w:hAnsi="Arial" w:eastAsia="Arial" w:cs="Arial"/>
          <w:sz w:val="24"/>
          <w:szCs w:val="24"/>
        </w:rPr>
        <w:t xml:space="preserve">Au choix, avec 0, 1 ou 2 pièces de raccordement.</w:t>
      </w:r>
    </w:p>
    <w:p>
      <w:pPr/>
      <w:r>
        <w:rPr>
          <w:rFonts w:ascii="Arial" w:hAnsi="Arial" w:eastAsia="Arial" w:cs="Arial"/>
          <w:sz w:val="24"/>
          <w:szCs w:val="24"/>
        </w:rPr>
        <w:t xml:space="preserve">Classe de résistance au feu K90-18017 S.</w:t>
      </w:r>
    </w:p>
    <w:p>
      <w:pPr/>
      <w:r>
        <w:rPr>
          <w:rFonts w:ascii="Arial" w:hAnsi="Arial" w:eastAsia="Arial" w:cs="Arial"/>
          <w:sz w:val="24"/>
          <w:szCs w:val="24"/>
        </w:rPr>
        <w:t xml:space="preserve">Accessoires nécessaires : Isolant de protection contre les incendies BI.</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BA 100-0</w:t>
            </w:r>
          </w:p>
        </w:tc>
      </w:tr>
      <w:tr>
        <w:trPr/>
        <w:tc>
          <w:tcPr>
            <w:tcW w:w="3000" w:type="dxa"/>
          </w:tcPr>
          <w:p>
            <w:r>
              <w:rPr>
                <w:rFonts w:ascii="Arial" w:hAnsi="Arial" w:eastAsia="Arial" w:cs="Arial"/>
                <w:sz w:val="20"/>
                <w:szCs w:val="20"/>
              </w:rPr>
              <w:t xml:space="preserve">Sens de l'air:</w:t>
            </w:r>
          </w:p>
        </w:tc>
        <w:tc>
          <w:tcPr>
            <w:tcW w:w="3000" w:type="dxa"/>
          </w:tcPr>
          <w:p>
            <w:pPr>
              <w:jc w:val="right"/>
              <w:spacing w:before="0" w:after="0.1"/>
            </w:pPr>
            <w:r>
              <w:rPr>
                <w:rFonts w:ascii="Arial" w:hAnsi="Arial" w:eastAsia="Arial" w:cs="Arial"/>
                <w:sz w:val="20"/>
                <w:szCs w:val="20"/>
              </w:rPr>
              <w:t xml:space="preserve">Évacuation d'air</w:t>
            </w:r>
          </w:p>
        </w:tc>
      </w:tr>
      <w:tr>
        <w:trPr/>
        <w:tc>
          <w:tcPr>
            <w:tcW w:w="3000" w:type="dxa"/>
          </w:tcPr>
          <w:p>
            <w:r>
              <w:rPr>
                <w:rFonts w:ascii="Arial" w:hAnsi="Arial" w:eastAsia="Arial" w:cs="Arial"/>
                <w:sz w:val="20"/>
                <w:szCs w:val="20"/>
              </w:rPr>
              <w:t xml:space="preserve">Mode de montage:</w:t>
            </w:r>
          </w:p>
        </w:tc>
        <w:tc>
          <w:tcPr>
            <w:tcW w:w="3000" w:type="dxa"/>
          </w:tcPr>
          <w:p>
            <w:pPr>
              <w:jc w:val="right"/>
              <w:spacing w:before="0" w:after="0.1"/>
            </w:pPr>
            <w:r>
              <w:rPr>
                <w:rFonts w:ascii="Arial" w:hAnsi="Arial" w:eastAsia="Arial" w:cs="Arial"/>
                <w:sz w:val="20"/>
                <w:szCs w:val="20"/>
              </w:rPr>
              <w:t xml:space="preserve">Montage encastré</w:t>
            </w:r>
          </w:p>
        </w:tc>
      </w:tr>
      <w:tr>
        <w:trPr/>
        <w:tc>
          <w:tcPr>
            <w:tcW w:w="3000" w:type="dxa"/>
          </w:tcPr>
          <w:p>
            <w:r>
              <w:rPr>
                <w:rFonts w:ascii="Arial" w:hAnsi="Arial" w:eastAsia="Arial" w:cs="Arial"/>
                <w:sz w:val="20"/>
                <w:szCs w:val="20"/>
              </w:rPr>
              <w:t xml:space="preserve">Matériau:</w:t>
            </w:r>
          </w:p>
        </w:tc>
        <w:tc>
          <w:tcPr>
            <w:tcW w:w="3000" w:type="dxa"/>
          </w:tcPr>
          <w:p>
            <w:pPr>
              <w:jc w:val="right"/>
              <w:spacing w:before="0" w:after="0.1"/>
            </w:pPr>
            <w:r>
              <w:rPr>
                <w:rFonts w:ascii="Arial" w:hAnsi="Arial" w:eastAsia="Arial" w:cs="Arial"/>
                <w:sz w:val="20"/>
                <w:szCs w:val="20"/>
              </w:rPr>
              <w:t xml:space="preserve">Tôle d’acier</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1,16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1,2 kg</w:t>
            </w:r>
          </w:p>
        </w:tc>
      </w:tr>
      <w:tr>
        <w:trPr/>
        <w:tc>
          <w:tcPr>
            <w:tcW w:w="3000" w:type="dxa"/>
          </w:tcPr>
          <w:p>
            <w:r>
              <w:rPr>
                <w:rFonts w:ascii="Arial" w:hAnsi="Arial" w:eastAsia="Arial" w:cs="Arial"/>
                <w:sz w:val="20"/>
                <w:szCs w:val="20"/>
              </w:rPr>
              <w:t xml:space="preserve">Protection incendie:</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Nombre de pièces de raccordement:</w:t>
            </w:r>
          </w:p>
        </w:tc>
        <w:tc>
          <w:tcPr>
            <w:tcW w:w="3000" w:type="dxa"/>
          </w:tcPr>
          <w:p>
            <w:pPr>
              <w:jc w:val="right"/>
              <w:spacing w:before="0" w:after="0.1"/>
            </w:pPr>
            <w:r>
              <w:rPr>
                <w:rFonts w:ascii="Arial" w:hAnsi="Arial" w:eastAsia="Arial" w:cs="Arial"/>
                <w:sz w:val="20"/>
                <w:szCs w:val="20"/>
              </w:rPr>
              <w:t xml:space="preserve">0</w:t>
            </w:r>
          </w:p>
        </w:tc>
      </w:tr>
      <w:tr>
        <w:trPr/>
        <w:tc>
          <w:tcPr>
            <w:tcW w:w="3000" w:type="dxa"/>
          </w:tcPr>
          <w:p>
            <w:r>
              <w:rPr>
                <w:rFonts w:ascii="Arial" w:hAnsi="Arial" w:eastAsia="Arial" w:cs="Arial"/>
                <w:sz w:val="20"/>
                <w:szCs w:val="20"/>
              </w:rPr>
              <w:t xml:space="preserve">Convient pour une largeur nominale de: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Z-41.6-573</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4012799990253</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0093.1019</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BA 100-0 Compensateur de protection incendie</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2024-04-19T22:12:17+00:00</dcterms:created>
  <dcterms:modified xsi:type="dcterms:W3CDTF">2024-04-19T22:12:17+00:00</dcterms:modified>
</cp:coreProperties>
</file>

<file path=docProps/custom.xml><?xml version="1.0" encoding="utf-8"?>
<Properties xmlns="http://schemas.openxmlformats.org/officeDocument/2006/custom-properties" xmlns:vt="http://schemas.openxmlformats.org/officeDocument/2006/docPropsVTypes"/>
</file>