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WRG 400 EC</w:t>
      </w:r>
    </w:p>
    <w:p>
      <w:pPr/>
      <w:r>
        <w:rPr>
          <w:rFonts w:ascii="Arial" w:hAnsi="Arial" w:eastAsia="Arial" w:cs="Arial"/>
          <w:sz w:val="24"/>
          <w:szCs w:val="24"/>
        </w:rPr>
        <w:t xml:space="preserve">Caractéristiques</w:t>
      </w:r>
    </w:p>
    <w:p>
      <w:pPr/>
      <w:r>
        <w:rPr>
          <w:rFonts w:ascii="Arial" w:hAnsi="Arial" w:eastAsia="Arial" w:cs="Arial"/>
          <w:sz w:val="24"/>
          <w:szCs w:val="24"/>
        </w:rPr>
        <w:t xml:space="preserve">Particulièrement économique en énergie grâce aux moteurs à courant continu avec débit d'air constant.</w:t>
      </w:r>
    </w:p>
    <w:p>
      <w:pPr/>
      <w:r>
        <w:rPr>
          <w:rFonts w:ascii="Arial" w:hAnsi="Arial" w:eastAsia="Arial" w:cs="Arial"/>
          <w:sz w:val="24"/>
          <w:szCs w:val="24"/>
        </w:rPr>
        <w:t xml:space="preserve">Avec ventilateurs insonorisés pour un fonctionnement particulièrement silencieux.</w:t>
      </w:r>
    </w:p>
    <w:p>
      <w:pPr/>
      <w:r>
        <w:rPr>
          <w:rFonts w:ascii="Arial" w:hAnsi="Arial" w:eastAsia="Arial" w:cs="Arial"/>
          <w:sz w:val="24"/>
          <w:szCs w:val="24"/>
        </w:rPr>
        <w:t xml:space="preserve">Avec régulation automatique du débit d'air pour un débit d'air constant.</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Couleur blanc perle, similaire RAL 1013.</w:t>
      </w:r>
    </w:p>
    <w:p>
      <w:pPr/>
      <w:r>
        <w:rPr>
          <w:rFonts w:ascii="Arial" w:hAnsi="Arial" w:eastAsia="Arial" w:cs="Arial"/>
          <w:sz w:val="24"/>
          <w:szCs w:val="24"/>
        </w:rPr>
        <w:t xml:space="preserve">Revêtement intérieur en matière plastique thermorésistante, non hygroscopique.</w:t>
      </w:r>
    </w:p>
    <w:p>
      <w:pPr/>
      <w:r>
        <w:rPr>
          <w:rFonts w:ascii="Arial" w:hAnsi="Arial" w:eastAsia="Arial" w:cs="Arial"/>
          <w:sz w:val="24"/>
          <w:szCs w:val="24"/>
        </w:rPr>
        <w:t xml:space="preserve">Remplacement aisé du filtre.</w:t>
      </w:r>
    </w:p>
    <w:p>
      <w:pPr/>
      <w:r>
        <w:rPr>
          <w:rFonts w:ascii="Arial" w:hAnsi="Arial" w:eastAsia="Arial" w:cs="Arial"/>
          <w:sz w:val="24"/>
          <w:szCs w:val="24"/>
        </w:rPr>
        <w:t xml:space="preserve">Avec deux filtres G4 intégrés, remplacement de filtre possible sans outils.</w:t>
      </w:r>
    </w:p>
    <w:p>
      <w:pPr/>
      <w:r>
        <w:rPr>
          <w:rFonts w:ascii="Arial" w:hAnsi="Arial" w:eastAsia="Arial" w:cs="Arial"/>
          <w:sz w:val="24"/>
          <w:szCs w:val="24"/>
        </w:rPr>
        <w:t xml:space="preserve">4 raccords tubulaires DN 180 sur le dessus de l'appareil.</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à panneaux à courants croisés en matière plastique (PETG).</w:t>
      </w:r>
    </w:p>
    <w:p>
      <w:pPr/>
      <w:r>
        <w:rPr>
          <w:rFonts w:ascii="Arial" w:hAnsi="Arial" w:eastAsia="Arial" w:cs="Arial"/>
          <w:sz w:val="24"/>
          <w:szCs w:val="24"/>
        </w:rPr>
        <w:t xml:space="preserve">L'échangeur de chaleur peut être sorti facilement après le dévissage de la face avant.</w:t>
      </w:r>
    </w:p>
    <w:p>
      <w:pPr/>
      <w:r>
        <w:rPr>
          <w:rFonts w:ascii="Arial" w:hAnsi="Arial" w:eastAsia="Arial" w:cs="Arial"/>
          <w:sz w:val="24"/>
          <w:szCs w:val="24"/>
        </w:rPr>
        <w:t xml:space="preserve">Nettoyage aisé de l'échangeur de chaleur avec de l'eau.</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protection contre le gel prévient le gel de l'échangeur de chaleur.</w:t>
      </w:r>
    </w:p>
    <w:p>
      <w:pPr/>
      <w:r>
        <w:rPr>
          <w:rFonts w:ascii="Arial" w:hAnsi="Arial" w:eastAsia="Arial" w:cs="Arial"/>
          <w:sz w:val="24"/>
          <w:szCs w:val="24"/>
        </w:rPr>
        <w:t xml:space="preserve">Le dispositif de protection contre le gel arrête le ventilateur d'air entrant lorsque la température de l'air rejeté chute de façon trop importante.</w:t>
      </w:r>
    </w:p>
    <w:p>
      <w:pPr/>
      <w:r>
        <w:rPr>
          <w:rFonts w:ascii="Arial" w:hAnsi="Arial" w:eastAsia="Arial" w:cs="Arial"/>
          <w:sz w:val="24"/>
          <w:szCs w:val="24"/>
        </w:rPr>
        <w:t xml:space="preserve">Les systèmes de récupération de chaleur doivent systématiquement être combinés avec un échangeur enterré ou un chauffage électrique de protection contre le gel afin de garantir un fonctionnement parfait même en présence de températures basses. L'échangeur de chaleur assure en plus une puissance de chauffe supplémentaire en hiver et une capacité de refroidissement supplémentaire en été.</w:t>
      </w:r>
    </w:p>
    <w:p/>
    <w:p>
      <w:pPr/>
      <w:r>
        <w:rPr>
          <w:rFonts w:ascii="Arial" w:hAnsi="Arial" w:eastAsia="Arial" w:cs="Arial"/>
          <w:sz w:val="24"/>
          <w:szCs w:val="24"/>
        </w:rPr>
        <w:t xml:space="preserve">Ventilateur de récupération de chaleur WRG</w:t>
      </w:r>
    </w:p>
    <w:p>
      <w:pPr/>
      <w:r>
        <w:rPr>
          <w:rFonts w:ascii="Arial" w:hAnsi="Arial" w:eastAsia="Arial" w:cs="Arial"/>
          <w:sz w:val="24"/>
          <w:szCs w:val="24"/>
        </w:rPr>
        <w:t xml:space="preserve">2 ventilateurs centrifuges à courant continu, un ventilateur pour l'air entrant et un pour l'air sortant.</w:t>
      </w:r>
    </w:p>
    <w:p>
      <w:pPr/>
      <w:r>
        <w:rPr>
          <w:rFonts w:ascii="Arial" w:hAnsi="Arial" w:eastAsia="Arial" w:cs="Arial"/>
          <w:sz w:val="24"/>
          <w:szCs w:val="24"/>
        </w:rPr>
        <w:t xml:space="preserve">Ventilateurs avec rotors radiaux courbés vers l'avant.</w:t>
      </w:r>
    </w:p>
    <w:p/>
    <w:p>
      <w:pPr/>
      <w:r>
        <w:rPr>
          <w:rFonts w:ascii="Arial" w:hAnsi="Arial" w:eastAsia="Arial" w:cs="Arial"/>
          <w:sz w:val="24"/>
          <w:szCs w:val="24"/>
        </w:rPr>
        <w:t xml:space="preserve">3 niveaux de ventilation :</w:t>
      </w:r>
    </w:p>
    <w:p>
      <w:pPr/>
      <w:r>
        <w:rPr>
          <w:rFonts w:ascii="Arial" w:hAnsi="Arial" w:eastAsia="Arial" w:cs="Arial"/>
          <w:sz w:val="24"/>
          <w:szCs w:val="24"/>
        </w:rPr>
        <w:t xml:space="preserve">1 = Ventilation de base/mode nuit</w:t>
      </w:r>
    </w:p>
    <w:p>
      <w:pPr/>
      <w:r>
        <w:rPr>
          <w:rFonts w:ascii="Arial" w:hAnsi="Arial" w:eastAsia="Arial" w:cs="Arial"/>
          <w:sz w:val="24"/>
          <w:szCs w:val="24"/>
        </w:rPr>
        <w:t xml:space="preserve">2 = Normal/mode jour</w:t>
      </w:r>
    </w:p>
    <w:p>
      <w:pPr/>
      <w:r>
        <w:rPr>
          <w:rFonts w:ascii="Arial" w:hAnsi="Arial" w:eastAsia="Arial" w:cs="Arial"/>
          <w:sz w:val="24"/>
          <w:szCs w:val="24"/>
        </w:rPr>
        <w:t xml:space="preserve">3 = Mode intensif / Mode festivités</w:t>
      </w:r>
    </w:p>
    <w:p>
      <w:pPr/>
      <w:r>
        <w:rPr>
          <w:rFonts w:ascii="Arial" w:hAnsi="Arial" w:eastAsia="Arial" w:cs="Arial"/>
          <w:sz w:val="24"/>
          <w:szCs w:val="24"/>
        </w:rPr>
        <w:t xml:space="preserve">Réglage d'usine : 100 / 200 / 300 m3/h</w:t>
      </w:r>
    </w:p>
    <w:p/>
    <w:p>
      <w:pPr/>
      <w:r>
        <w:rPr>
          <w:rFonts w:ascii="Arial" w:hAnsi="Arial" w:eastAsia="Arial" w:cs="Arial"/>
          <w:sz w:val="24"/>
          <w:szCs w:val="24"/>
        </w:rPr>
        <w:t xml:space="preserve">Le débit d'air à l'intérieur de chaque niveau de ventilation est de 70 m3/h à 400 m3/h réglable en paliers de 5 m3/h.</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Avec support pour montage mural, pieds pour installation en position debout.</w:t>
      </w:r>
    </w:p>
    <w:p>
      <w:pPr/>
      <w:r>
        <w:rPr>
          <w:rFonts w:ascii="Arial" w:hAnsi="Arial" w:eastAsia="Arial" w:cs="Arial"/>
          <w:sz w:val="24"/>
          <w:szCs w:val="24"/>
        </w:rPr>
        <w:t xml:space="preserve">Montage nécessaire au mur ou sur plate-forme pour garantir l'accès au raccordement pour condensats.</w:t>
      </w:r>
    </w:p>
    <w:p>
      <w:pPr/>
      <w:r>
        <w:rPr>
          <w:rFonts w:ascii="Arial" w:hAnsi="Arial" w:eastAsia="Arial" w:cs="Arial"/>
          <w:sz w:val="24"/>
          <w:szCs w:val="24"/>
        </w:rPr>
        <w:t xml:space="preserve">Les couvercles du boîtier peuvent se dévisser.</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s'effectue par le fond de l'appareil. Évacuation des condensats (filet femelle ½") à brancher à un siphon.</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400 EC</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60 m³/h / 400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300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Cave  / Combles  / Jambage  / Local utilitaire domestique  / Chaufferie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perlé, similaire RAL 1013</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28,97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730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Rotor de condensation</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4012799820611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0082.0061</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400 EC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2024-04-19T12:43:39+00:00</dcterms:created>
  <dcterms:modified xsi:type="dcterms:W3CDTF">2024-04-19T12:43:39+00:00</dcterms:modified>
</cp:coreProperties>
</file>

<file path=docProps/custom.xml><?xml version="1.0" encoding="utf-8"?>
<Properties xmlns="http://schemas.openxmlformats.org/officeDocument/2006/custom-properties" xmlns:vt="http://schemas.openxmlformats.org/officeDocument/2006/docPropsVTypes"/>
</file>