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Centralne urządzenie wywiewne ZEG2 EC</w:t>
      </w:r>
    </w:p>
    <w:p>
      <w:pPr/>
      <w:r>
        <w:rPr>
          <w:rFonts w:ascii="Arial" w:hAnsi="Arial" w:eastAsia="Arial" w:cs="Arial"/>
          <w:sz w:val="24"/>
          <w:szCs w:val="24"/>
        </w:rPr>
        <w:t xml:space="preserve">Cechy</w:t>
      </w:r>
    </w:p>
    <w:p>
      <w:pPr/>
      <w:r>
        <w:rPr>
          <w:rFonts w:ascii="Arial" w:hAnsi="Arial" w:eastAsia="Arial" w:cs="Arial"/>
          <w:sz w:val="24"/>
          <w:szCs w:val="24"/>
        </w:rPr>
        <w:t xml:space="preserve">Centralne urządzenie do wyciągu powietrza.</w:t>
      </w:r>
    </w:p>
    <w:p>
      <w:pPr/>
      <w:r>
        <w:rPr>
          <w:rFonts w:ascii="Arial" w:hAnsi="Arial" w:eastAsia="Arial" w:cs="Arial"/>
          <w:sz w:val="24"/>
          <w:szCs w:val="24"/>
        </w:rPr>
        <w:t xml:space="preserve">Do jednoczesnego wyciągu powietrza z kilku pomieszczeń w domach jednorodzinnych lub mieszkaniach.</w:t>
      </w:r>
    </w:p>
    <w:p>
      <w:pPr/>
      <w:r>
        <w:rPr>
          <w:rFonts w:ascii="Arial" w:hAnsi="Arial" w:eastAsia="Arial" w:cs="Arial"/>
          <w:sz w:val="24"/>
          <w:szCs w:val="24"/>
        </w:rPr>
        <w:t xml:space="preserve">Stopień ochrony IP 20.</w:t>
      </w:r>
    </w:p>
    <w:p>
      <w:pPr/>
      <w:r>
        <w:rPr>
          <w:rFonts w:ascii="Arial" w:hAnsi="Arial" w:eastAsia="Arial" w:cs="Arial"/>
          <w:sz w:val="24"/>
          <w:szCs w:val="24"/>
        </w:rPr>
        <w:t xml:space="preserve">Obudowa łatwa do czyszczenia.</w:t>
      </w:r>
    </w:p>
    <w:p>
      <w:pPr/>
      <w:r>
        <w:rPr>
          <w:rFonts w:ascii="Arial" w:hAnsi="Arial" w:eastAsia="Arial" w:cs="Arial"/>
          <w:sz w:val="24"/>
          <w:szCs w:val="24"/>
        </w:rPr>
        <w:t xml:space="preserve">Urządzenie wyposażone jest w cichobieżny i efektywny energetycznie silnik EC.</w:t>
      </w:r>
    </w:p>
    <w:p>
      <w:pPr/>
      <w:r>
        <w:rPr>
          <w:rFonts w:ascii="Arial" w:hAnsi="Arial" w:eastAsia="Arial" w:cs="Arial"/>
          <w:sz w:val="24"/>
          <w:szCs w:val="24"/>
        </w:rPr>
        <w:t xml:space="preserve">Z 5 możliwymi przyłączami powietrza wywiewanego (3 x DN 125, 1 x DN 125 / DN 160) i 1 x DN 160 = „przewężenie do wyłamania”)</w:t>
      </w:r>
    </w:p>
    <w:p>
      <w:pPr/>
      <w:r>
        <w:rPr>
          <w:rFonts w:ascii="Arial" w:hAnsi="Arial" w:eastAsia="Arial" w:cs="Arial"/>
          <w:sz w:val="24"/>
          <w:szCs w:val="24"/>
        </w:rPr>
        <w:t xml:space="preserve">Z króćcem powietrza wydalanego DN 125.</w:t>
      </w:r>
    </w:p>
    <w:p>
      <w:pPr/>
      <w:r>
        <w:rPr>
          <w:rFonts w:ascii="Arial" w:hAnsi="Arial" w:eastAsia="Arial" w:cs="Arial"/>
          <w:sz w:val="24"/>
          <w:szCs w:val="24"/>
        </w:rPr>
        <w:t xml:space="preserve">Silnik i układ elektroniczny są wbudowane.</w:t>
      </w:r>
    </w:p>
    <w:p>
      <w:pPr/>
      <w:r>
        <w:rPr>
          <w:rFonts w:ascii="Arial" w:hAnsi="Arial" w:eastAsia="Arial" w:cs="Arial"/>
          <w:sz w:val="24"/>
          <w:szCs w:val="24"/>
        </w:rPr>
        <w:t xml:space="preserve">Możliwych jest maks. 28 stopni prędkości obrotowej.</w:t>
      </w:r>
    </w:p>
    <w:p>
      <w:pPr/>
      <w:r>
        <w:rPr>
          <w:rFonts w:ascii="Arial" w:hAnsi="Arial" w:eastAsia="Arial" w:cs="Arial"/>
          <w:sz w:val="24"/>
          <w:szCs w:val="24"/>
        </w:rPr>
        <w:t xml:space="preserve">Standardowa nastawa wstępna na stopnie 1(a*) = „Niska”, 3(a*) = „Normalna” i 11 (a*) = „Wysoka”.</w:t>
      </w:r>
    </w:p>
    <w:p>
      <w:pPr/>
      <w:r>
        <w:rPr>
          <w:rFonts w:ascii="Arial" w:hAnsi="Arial" w:eastAsia="Arial" w:cs="Arial"/>
          <w:sz w:val="24"/>
          <w:szCs w:val="24"/>
        </w:rPr>
        <w:t xml:space="preserve">Wstępnie nastawione stopnie prędkości obrotowej można bez problemu zmienić za pomocą tak zwanych mikroprzełączników DIP.</w:t>
      </w:r>
    </w:p>
    <w:p>
      <w:pPr/>
      <w:r>
        <w:rPr>
          <w:rFonts w:ascii="Arial" w:hAnsi="Arial" w:eastAsia="Arial" w:cs="Arial"/>
          <w:sz w:val="24"/>
          <w:szCs w:val="24"/>
        </w:rPr>
        <w:t xml:space="preserve">Z wbudowanym czujnikiem wilgotności do automatycznego sterowania zależnego od wilgotności.</w:t>
      </w:r>
    </w:p>
    <w:p>
      <w:pPr/>
      <w:r>
        <w:rPr>
          <w:rFonts w:ascii="Arial" w:hAnsi="Arial" w:eastAsia="Arial" w:cs="Arial"/>
          <w:sz w:val="24"/>
          <w:szCs w:val="24"/>
        </w:rPr>
        <w:t xml:space="preserve">Zakres dostawy obejmuje bezprzewodowe zdalne sterowanie ZEG2 EC-FB.</w:t>
      </w:r>
    </w:p>
    <w:p>
      <w:pPr/>
      <w:r>
        <w:rPr>
          <w:rFonts w:ascii="Arial" w:hAnsi="Arial" w:eastAsia="Arial" w:cs="Arial"/>
          <w:sz w:val="24"/>
          <w:szCs w:val="24"/>
        </w:rPr>
        <w:t xml:space="preserve">* = występuje charakterystyka „a” i charakterystyka „b”, w zależności od nastawy mikroprzełącznika DIP 7</w:t>
      </w:r>
    </w:p>
    <w:p/>
    <w:p>
      <w:pPr/>
      <w:r>
        <w:rPr>
          <w:rFonts w:ascii="Arial" w:hAnsi="Arial" w:eastAsia="Arial" w:cs="Arial"/>
          <w:sz w:val="24"/>
          <w:szCs w:val="24"/>
        </w:rPr>
        <w:t xml:space="preserve">Urządzenie sterownicze</w:t>
      </w:r>
    </w:p>
    <w:p>
      <w:pPr/>
      <w:r>
        <w:rPr>
          <w:rFonts w:ascii="Arial" w:hAnsi="Arial" w:eastAsia="Arial" w:cs="Arial"/>
          <w:sz w:val="24"/>
          <w:szCs w:val="24"/>
        </w:rPr>
        <w:t xml:space="preserve">Bezprzewodowe zdalne sterowanie ZEG2 EC-FB ze sterowaniem czujnikiem wilgotności i 6 przyciskami nastawczymi (czujnik wilgotności zawarty jest w ZEG2 EC).</w:t>
      </w:r>
    </w:p>
    <w:p>
      <w:pPr/>
      <w:r>
        <w:rPr>
          <w:rFonts w:ascii="Arial" w:hAnsi="Arial" w:eastAsia="Arial" w:cs="Arial"/>
          <w:sz w:val="24"/>
          <w:szCs w:val="24"/>
        </w:rPr>
        <w:t xml:space="preserve">Częstotliwość radiowa 868,3 MHz.</w:t>
      </w:r>
    </w:p>
    <w:p>
      <w:pPr/>
      <w:r>
        <w:rPr>
          <w:rFonts w:ascii="Arial" w:hAnsi="Arial" w:eastAsia="Arial" w:cs="Arial"/>
          <w:sz w:val="24"/>
          <w:szCs w:val="24"/>
        </w:rPr>
        <w:t xml:space="preserve">Wymiary (WxSxG): 83x80x28 mm.</w:t>
      </w:r>
    </w:p>
    <w:p>
      <w:pPr/>
      <w:r>
        <w:rPr>
          <w:rFonts w:ascii="Arial" w:hAnsi="Arial" w:eastAsia="Arial" w:cs="Arial"/>
          <w:sz w:val="24"/>
          <w:szCs w:val="24"/>
        </w:rPr>
        <w:t xml:space="preserve">Stopień ochrony: IP 30.</w:t>
      </w:r>
    </w:p>
    <w:p>
      <w:pPr/>
      <w:r>
        <w:rPr>
          <w:rFonts w:ascii="Arial" w:hAnsi="Arial" w:eastAsia="Arial" w:cs="Arial"/>
          <w:sz w:val="24"/>
          <w:szCs w:val="24"/>
        </w:rPr>
        <w:t xml:space="preserve">Wskazania stanu za pomocą diod LED.</w:t>
      </w:r>
    </w:p>
    <w:p/>
    <w:p>
      <w:pPr/>
      <w:r>
        <w:rPr>
          <w:rFonts w:ascii="Arial" w:hAnsi="Arial" w:eastAsia="Arial" w:cs="Arial"/>
          <w:sz w:val="24"/>
          <w:szCs w:val="24"/>
        </w:rPr>
        <w:t xml:space="preserve">Nastawy</w:t>
      </w:r>
    </w:p>
    <w:p>
      <w:pPr/>
      <w:r>
        <w:rPr>
          <w:rFonts w:ascii="Arial" w:hAnsi="Arial" w:eastAsia="Arial" w:cs="Arial"/>
          <w:sz w:val="24"/>
          <w:szCs w:val="24"/>
        </w:rPr>
        <w:t xml:space="preserve">Tryb nieobecności („tryb energooszczędny”)</w:t>
      </w:r>
    </w:p>
    <w:p>
      <w:pPr/>
      <w:r>
        <w:rPr>
          <w:rFonts w:ascii="Arial" w:hAnsi="Arial" w:eastAsia="Arial" w:cs="Arial"/>
          <w:sz w:val="24"/>
          <w:szCs w:val="24"/>
        </w:rPr>
        <w:t xml:space="preserve">Automatyczny tryb pracy reguluje stopień wentylacji zgodnie z ustalonymi wartościami zmierzonymi czujnika wilgotności</w:t>
      </w:r>
    </w:p>
    <w:p>
      <w:pPr/>
      <w:r>
        <w:rPr>
          <w:rFonts w:ascii="Arial" w:hAnsi="Arial" w:eastAsia="Arial" w:cs="Arial"/>
          <w:sz w:val="24"/>
          <w:szCs w:val="24"/>
        </w:rPr>
        <w:t xml:space="preserve">Tryb pracy z programatorem zegarowym (15/30/60 minut) na stopniu „Wysoka”, następnie ponownie ostatnio wybrany stopień</w:t>
      </w:r>
    </w:p>
    <w:p>
      <w:pPr/>
      <w:r>
        <w:rPr>
          <w:rFonts w:ascii="Arial" w:hAnsi="Arial" w:eastAsia="Arial" w:cs="Arial"/>
          <w:sz w:val="24"/>
          <w:szCs w:val="24"/>
        </w:rPr>
        <w:t xml:space="preserve">1. Niska prędkość obrotowa - standardowe położenie w nocy</w:t>
      </w:r>
    </w:p>
    <w:p>
      <w:pPr/>
      <w:r>
        <w:rPr>
          <w:rFonts w:ascii="Arial" w:hAnsi="Arial" w:eastAsia="Arial" w:cs="Arial"/>
          <w:sz w:val="24"/>
          <w:szCs w:val="24"/>
        </w:rPr>
        <w:t xml:space="preserve">2. Normalna prędkość obrotowa - standardowe położenie w dzień</w:t>
      </w:r>
    </w:p>
    <w:p>
      <w:pPr/>
      <w:r>
        <w:rPr>
          <w:rFonts w:ascii="Arial" w:hAnsi="Arial" w:eastAsia="Arial" w:cs="Arial"/>
          <w:sz w:val="24"/>
          <w:szCs w:val="24"/>
        </w:rPr>
        <w:t xml:space="preserve">3. Wysoka prędkość obrotowa - podczas gotowania i kąpieli</w:t>
      </w:r>
    </w:p>
    <w:p/>
    <w:p>
      <w:pPr/>
      <w:r>
        <w:rPr>
          <w:rFonts w:ascii="Arial" w:hAnsi="Arial" w:eastAsia="Arial" w:cs="Arial"/>
          <w:sz w:val="24"/>
          <w:szCs w:val="24"/>
        </w:rPr>
        <w:t xml:space="preserve">Tryb automatyczny: W tej pozycji urządzenie do wentylacji wywiewnej pracuje z niską prędkością obrotową aż do zmierzenia wyraźnego wzrostu względnej wilgotności powietrza wywiewanego w ciągu 3 minut (mikroprzełącznik DIP 7 umożliwia nastawienie 5% lub 10%). Urządzenie przełącza się wówczas ze stopnia „Niska” (1) na „Normalna” (2) lub „Wysoka” (3), w zależności od nastawy mikroprzełącznika DIP 7. W przypadku stwierdzenia obniżania się poziomu wilgotności ZEG2 EC pracuje przez 15 lub 30 minut na stopniu „Normalna” bądź „Wysoka” (czas wybiegu można nastawić za pomocą mikroprzełącznika DIP 8). Następnie urządzenie przełącza się z powrotem na stopień „Niska”.</w:t>
      </w:r>
    </w:p>
    <w:p>
      <w:pPr/>
      <w:r>
        <w:rPr>
          <w:rFonts w:ascii="Arial" w:hAnsi="Arial" w:eastAsia="Arial" w:cs="Arial"/>
          <w:sz w:val="24"/>
          <w:szCs w:val="24"/>
        </w:rPr>
        <w:t xml:space="preserve">Tryb nieobecności: ZEG2 EC pracuje w trybie energooszczędnym i nie reaguje na czujnik wilgotności.</w:t>
      </w:r>
    </w:p>
    <w:p/>
    <w:p>
      <w:pPr/>
      <w:r>
        <w:rPr>
          <w:rFonts w:ascii="Arial" w:hAnsi="Arial" w:eastAsia="Arial" w:cs="Arial"/>
          <w:sz w:val="24"/>
          <w:szCs w:val="24"/>
        </w:rPr>
        <w:t xml:space="preserve">Wskazówki montażowe</w:t>
      </w:r>
    </w:p>
    <w:p>
      <w:pPr/>
      <w:r>
        <w:rPr>
          <w:rFonts w:ascii="Arial" w:hAnsi="Arial" w:eastAsia="Arial" w:cs="Arial"/>
          <w:sz w:val="24"/>
          <w:szCs w:val="24"/>
        </w:rPr>
        <w:t xml:space="preserve">Zdalne sterowanie ZEG2 EC-FB może być zainstalowane w wilgotnych pomieszczeniach, jednak nie bezpośrednio w kabinie natryskowej. Zdalne sterowanie nie może zostać spryskane wodą (wilgotność względna maks. 90%).</w:t>
      </w:r>
    </w:p>
    <w:p>
      <w:pPr/>
      <w:r>
        <w:rPr>
          <w:rFonts w:ascii="Arial" w:hAnsi="Arial" w:eastAsia="Arial" w:cs="Arial"/>
          <w:sz w:val="24"/>
          <w:szCs w:val="24"/>
        </w:rPr>
        <w:t xml:space="preserve">Urządzenie ZEG2 EC musi być ustawione w suchym pomieszczeniu i nie może zostać spryskane wodą (wilgotność względna maks. 90%).</w:t>
      </w:r>
    </w:p>
    <w:p/>
    <w:p>
      <w:pPr/>
      <w:r>
        <w:rPr>
          <w:rFonts w:ascii="Arial" w:hAnsi="Arial" w:eastAsia="Arial" w:cs="Arial"/>
          <w:sz w:val="24"/>
          <w:szCs w:val="24"/>
        </w:rPr>
        <w:t xml:space="preserve">Przyłącze elektryczne</w:t>
      </w:r>
    </w:p>
    <w:p>
      <w:pPr/>
      <w:r>
        <w:rPr>
          <w:rFonts w:ascii="Arial" w:hAnsi="Arial" w:eastAsia="Arial" w:cs="Arial"/>
          <w:sz w:val="24"/>
          <w:szCs w:val="24"/>
        </w:rPr>
        <w:t xml:space="preserve">Elastyczny kabel przyłączeniowy o długości ok. 1,2 m.</w:t>
      </w:r>
    </w:p>
    <w:p/>
    <w:p>
      <w:pPr/>
      <w:r>
        <w:rPr>
          <w:rFonts w:ascii="Arial" w:hAnsi="Arial" w:eastAsia="Arial" w:cs="Arial"/>
          <w:sz w:val="24"/>
          <w:szCs w:val="24"/>
        </w:rPr>
        <w:t xml:space="preserve">Dane Techniczne</w:t>
      </w:r>
    </w:p>
    <w:tbl>
      <w:tblGrid>
        <w:gridCol w:w="3000" w:type="dxa"/>
        <w:gridCol w:w="3000" w:type="dxa"/>
      </w:tblGrid>
      <w:tr>
        <w:trPr/>
        <w:tc>
          <w:tcPr>
            <w:tcW w:w="3000" w:type="dxa"/>
          </w:tcPr>
          <w:p>
            <w:r>
              <w:rPr>
                <w:rFonts w:ascii="Arial" w:hAnsi="Arial" w:eastAsia="Arial" w:cs="Arial"/>
                <w:sz w:val="20"/>
                <w:szCs w:val="20"/>
              </w:rPr>
              <w:t xml:space="preserve">Artykuł:</w:t>
            </w:r>
          </w:p>
        </w:tc>
        <w:tc>
          <w:tcPr>
            <w:tcW w:w="3000" w:type="dxa"/>
          </w:tcPr>
          <w:p>
            <w:pPr>
              <w:jc w:val="right"/>
              <w:spacing w:before="0" w:after="0.1"/>
            </w:pPr>
            <w:r>
              <w:rPr>
                <w:rFonts w:ascii="Arial" w:hAnsi="Arial" w:eastAsia="Arial" w:cs="Arial"/>
                <w:sz w:val="20"/>
                <w:szCs w:val="20"/>
              </w:rPr>
              <w:t xml:space="preserve">ZEG2 EC</w:t>
            </w:r>
          </w:p>
        </w:tc>
      </w:tr>
      <w:tr>
        <w:trPr/>
        <w:tc>
          <w:tcPr>
            <w:tcW w:w="3000" w:type="dxa"/>
          </w:tcPr>
          <w:p>
            <w:r>
              <w:rPr>
                <w:rFonts w:ascii="Arial" w:hAnsi="Arial" w:eastAsia="Arial" w:cs="Arial"/>
                <w:sz w:val="20"/>
                <w:szCs w:val="20"/>
              </w:rPr>
              <w:t xml:space="preserve">Wydajność powietrza:</w:t>
            </w:r>
          </w:p>
        </w:tc>
        <w:tc>
          <w:tcPr>
            <w:tcW w:w="3000" w:type="dxa"/>
          </w:tcPr>
          <w:p>
            <w:pPr>
              <w:jc w:val="right"/>
              <w:spacing w:before="0" w:after="0.1"/>
            </w:pPr>
            <w:r>
              <w:rPr>
                <w:rFonts w:ascii="Arial" w:hAnsi="Arial" w:eastAsia="Arial" w:cs="Arial"/>
                <w:sz w:val="20"/>
                <w:szCs w:val="20"/>
              </w:rPr>
              <w:t xml:space="preserve">535 m³/h / 600 m³/h Ciśnienie systemowe przy 200 Pa lub ciśnienie systemowe przy 100 Pa</w:t>
            </w:r>
          </w:p>
        </w:tc>
      </w:tr>
      <w:tr>
        <w:trPr/>
        <w:tc>
          <w:tcPr>
            <w:tcW w:w="3000" w:type="dxa"/>
          </w:tcPr>
          <w:p>
            <w:r>
              <w:rPr>
                <w:rFonts w:ascii="Arial" w:hAnsi="Arial" w:eastAsia="Arial" w:cs="Arial"/>
                <w:sz w:val="20"/>
                <w:szCs w:val="20"/>
              </w:rPr>
              <w:t xml:space="preserve">z możliwością regulacji obrotów:</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SEC – wartość średnia:</w:t>
            </w:r>
          </w:p>
        </w:tc>
        <w:tc>
          <w:tcPr>
            <w:tcW w:w="3000" w:type="dxa"/>
          </w:tcPr>
          <w:p>
            <w:pPr>
              <w:jc w:val="right"/>
              <w:spacing w:before="0" w:after="0.1"/>
            </w:pPr>
            <w:r>
              <w:rPr>
                <w:rFonts w:ascii="Arial" w:hAnsi="Arial" w:eastAsia="Arial" w:cs="Arial"/>
                <w:sz w:val="20"/>
                <w:szCs w:val="20"/>
              </w:rPr>
              <w:t xml:space="preserve">-20,6 kWh/(m²*a)</w:t>
            </w:r>
          </w:p>
        </w:tc>
      </w:tr>
      <w:tr>
        <w:trPr/>
        <w:tc>
          <w:tcPr>
            <w:tcW w:w="3000" w:type="dxa"/>
          </w:tcPr>
          <w:p>
            <w:r>
              <w:rPr>
                <w:rFonts w:ascii="Arial" w:hAnsi="Arial" w:eastAsia="Arial" w:cs="Arial"/>
                <w:sz w:val="20"/>
                <w:szCs w:val="20"/>
              </w:rPr>
              <w:t xml:space="preserve">Klasa efektywności energetycznej:</w:t>
            </w:r>
          </w:p>
        </w:tc>
        <w:tc>
          <w:tcPr>
            <w:tcW w:w="3000" w:type="dxa"/>
          </w:tcPr>
          <w:p>
            <w:pPr>
              <w:jc w:val="right"/>
              <w:spacing w:before="0" w:after="0.1"/>
            </w:pPr>
            <w:r>
              <w:rPr>
                <w:rFonts w:ascii="Arial" w:hAnsi="Arial" w:eastAsia="Arial" w:cs="Arial"/>
                <w:sz w:val="20"/>
                <w:szCs w:val="20"/>
              </w:rPr>
              <w:t xml:space="preserve">D</w:t>
            </w:r>
          </w:p>
        </w:tc>
      </w:tr>
      <w:tr>
        <w:trPr/>
        <w:tc>
          <w:tcPr>
            <w:tcW w:w="3000" w:type="dxa"/>
          </w:tcPr>
          <w:p>
            <w:r>
              <w:rPr>
                <w:rFonts w:ascii="Arial" w:hAnsi="Arial" w:eastAsia="Arial" w:cs="Arial"/>
                <w:sz w:val="20"/>
                <w:szCs w:val="20"/>
              </w:rPr>
              <w:t xml:space="preserve">Typ napięcia:</w:t>
            </w:r>
          </w:p>
        </w:tc>
        <w:tc>
          <w:tcPr>
            <w:tcW w:w="3000" w:type="dxa"/>
          </w:tcPr>
          <w:p>
            <w:pPr>
              <w:jc w:val="right"/>
              <w:spacing w:before="0" w:after="0.1"/>
            </w:pPr>
            <w:r>
              <w:rPr>
                <w:rFonts w:ascii="Arial" w:hAnsi="Arial" w:eastAsia="Arial" w:cs="Arial"/>
                <w:sz w:val="20"/>
                <w:szCs w:val="20"/>
              </w:rPr>
              <w:t xml:space="preserve">Prąd zmienny</w:t>
            </w:r>
          </w:p>
        </w:tc>
      </w:tr>
      <w:tr>
        <w:trPr/>
        <w:tc>
          <w:tcPr>
            <w:tcW w:w="3000" w:type="dxa"/>
          </w:tcPr>
          <w:p>
            <w:r>
              <w:rPr>
                <w:rFonts w:ascii="Arial" w:hAnsi="Arial" w:eastAsia="Arial" w:cs="Arial"/>
                <w:sz w:val="20"/>
                <w:szCs w:val="20"/>
              </w:rPr>
              <w:t xml:space="preserve">Napięcie znamionowe: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Częstotliwość sieci:</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Pobór mocy:</w:t>
            </w:r>
          </w:p>
        </w:tc>
        <w:tc>
          <w:tcPr>
            <w:tcW w:w="3000" w:type="dxa"/>
          </w:tcPr>
          <w:p>
            <w:pPr>
              <w:jc w:val="right"/>
              <w:spacing w:before="0" w:after="0.1"/>
            </w:pPr>
            <w:r>
              <w:rPr>
                <w:rFonts w:ascii="Arial" w:hAnsi="Arial" w:eastAsia="Arial" w:cs="Arial"/>
                <w:sz w:val="20"/>
                <w:szCs w:val="20"/>
              </w:rPr>
              <w:t xml:space="preserve">2 W - 85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0,05 A - 0,8 A</w:t>
            </w:r>
          </w:p>
        </w:tc>
      </w:tr>
      <w:tr>
        <w:trPr/>
        <w:tc>
          <w:tcPr>
            <w:tcW w:w="3000" w:type="dxa"/>
          </w:tcPr>
          <w:p>
            <w:r>
              <w:rPr>
                <w:rFonts w:ascii="Arial" w:hAnsi="Arial" w:eastAsia="Arial" w:cs="Arial"/>
                <w:sz w:val="20"/>
                <w:szCs w:val="20"/>
              </w:rPr>
              <w:t xml:space="preserve">Stopień ochrony:</w:t>
            </w:r>
          </w:p>
        </w:tc>
        <w:tc>
          <w:tcPr>
            <w:tcW w:w="3000" w:type="dxa"/>
          </w:tcPr>
          <w:p>
            <w:pPr>
              <w:jc w:val="right"/>
              <w:spacing w:before="0" w:after="0.1"/>
            </w:pPr>
            <w:r>
              <w:rPr>
                <w:rFonts w:ascii="Arial" w:hAnsi="Arial" w:eastAsia="Arial" w:cs="Arial"/>
                <w:sz w:val="20"/>
                <w:szCs w:val="20"/>
              </w:rPr>
              <w:t xml:space="preserve">IP 20</w:t>
            </w:r>
          </w:p>
        </w:tc>
      </w:tr>
      <w:tr>
        <w:trPr/>
        <w:tc>
          <w:tcPr>
            <w:tcW w:w="3000" w:type="dxa"/>
          </w:tcPr>
          <w:p>
            <w:r>
              <w:rPr>
                <w:rFonts w:ascii="Arial" w:hAnsi="Arial" w:eastAsia="Arial" w:cs="Arial"/>
                <w:sz w:val="20"/>
                <w:szCs w:val="20"/>
              </w:rPr>
              <w:t xml:space="preserve">Miejsce instalowania:</w:t>
            </w:r>
          </w:p>
        </w:tc>
        <w:tc>
          <w:tcPr>
            <w:tcW w:w="3000" w:type="dxa"/>
          </w:tcPr>
          <w:p>
            <w:pPr>
              <w:jc w:val="right"/>
              <w:spacing w:before="0" w:after="0.1"/>
            </w:pPr>
            <w:r>
              <w:rPr>
                <w:rFonts w:ascii="Arial" w:hAnsi="Arial" w:eastAsia="Arial" w:cs="Arial"/>
                <w:sz w:val="20"/>
                <w:szCs w:val="20"/>
              </w:rPr>
              <w:t xml:space="preserve">Piwnica  / Zasobnik  / Ścianka kolankowa  / Pomieszczenie gospodarcze  / Pomieszczenie ogrzewania  / Pomieszczenie techniczne</w:t>
            </w:r>
          </w:p>
        </w:tc>
      </w:tr>
      <w:tr>
        <w:trPr/>
        <w:tc>
          <w:tcPr>
            <w:tcW w:w="3000" w:type="dxa"/>
          </w:tcPr>
          <w:p>
            <w:r>
              <w:rPr>
                <w:rFonts w:ascii="Arial" w:hAnsi="Arial" w:eastAsia="Arial" w:cs="Arial"/>
                <w:sz w:val="20"/>
                <w:szCs w:val="20"/>
              </w:rPr>
              <w:t xml:space="preserve">Pozycja montażowa:</w:t>
            </w:r>
          </w:p>
        </w:tc>
        <w:tc>
          <w:tcPr>
            <w:tcW w:w="3000" w:type="dxa"/>
          </w:tcPr>
          <w:p>
            <w:pPr>
              <w:jc w:val="right"/>
              <w:spacing w:before="0" w:after="0.1"/>
            </w:pPr>
            <w:r>
              <w:rPr>
                <w:rFonts w:ascii="Arial" w:hAnsi="Arial" w:eastAsia="Arial" w:cs="Arial"/>
                <w:sz w:val="20"/>
                <w:szCs w:val="20"/>
              </w:rPr>
              <w:t xml:space="preserve">pionowo  / poziomo</w:t>
            </w:r>
          </w:p>
        </w:tc>
      </w:tr>
      <w:tr>
        <w:trPr/>
        <w:tc>
          <w:tcPr>
            <w:tcW w:w="3000" w:type="dxa"/>
          </w:tcPr>
          <w:p>
            <w:r>
              <w:rPr>
                <w:rFonts w:ascii="Arial" w:hAnsi="Arial" w:eastAsia="Arial" w:cs="Arial"/>
                <w:sz w:val="20"/>
                <w:szCs w:val="20"/>
              </w:rPr>
              <w:t xml:space="preserve">Rodzaj systemu:</w:t>
            </w:r>
          </w:p>
        </w:tc>
        <w:tc>
          <w:tcPr>
            <w:tcW w:w="3000" w:type="dxa"/>
          </w:tcPr>
          <w:p>
            <w:pPr>
              <w:jc w:val="right"/>
              <w:spacing w:before="0" w:after="0.1"/>
            </w:pPr>
            <w:r>
              <w:rPr>
                <w:rFonts w:ascii="Arial" w:hAnsi="Arial" w:eastAsia="Arial" w:cs="Arial"/>
                <w:sz w:val="20"/>
                <w:szCs w:val="20"/>
              </w:rPr>
              <w:t xml:space="preserve">centralne</w:t>
            </w:r>
          </w:p>
        </w:tc>
      </w:tr>
      <w:tr>
        <w:trPr/>
        <w:tc>
          <w:tcPr>
            <w:tcW w:w="3000" w:type="dxa"/>
          </w:tcPr>
          <w:p>
            <w:r>
              <w:rPr>
                <w:rFonts w:ascii="Arial" w:hAnsi="Arial" w:eastAsia="Arial" w:cs="Arial"/>
                <w:sz w:val="20"/>
                <w:szCs w:val="20"/>
              </w:rPr>
              <w:t xml:space="preserve">Materiał:</w:t>
            </w:r>
          </w:p>
        </w:tc>
        <w:tc>
          <w:tcPr>
            <w:tcW w:w="3000" w:type="dxa"/>
          </w:tcPr>
          <w:p>
            <w:pPr>
              <w:jc w:val="right"/>
              <w:spacing w:before="0" w:after="0.1"/>
            </w:pPr>
            <w:r>
              <w:rPr>
                <w:rFonts w:ascii="Arial" w:hAnsi="Arial" w:eastAsia="Arial" w:cs="Arial"/>
                <w:sz w:val="20"/>
                <w:szCs w:val="20"/>
              </w:rPr>
              <w:t xml:space="preserve">Tworzywo sztuczne</w:t>
            </w:r>
          </w:p>
        </w:tc>
      </w:tr>
      <w:tr>
        <w:trPr/>
        <w:tc>
          <w:tcPr>
            <w:tcW w:w="3000" w:type="dxa"/>
          </w:tcPr>
          <w:p>
            <w:r>
              <w:rPr>
                <w:rFonts w:ascii="Arial" w:hAnsi="Arial" w:eastAsia="Arial" w:cs="Arial"/>
                <w:sz w:val="20"/>
                <w:szCs w:val="20"/>
              </w:rPr>
              <w:t xml:space="preserve">Kolor:</w:t>
            </w:r>
          </w:p>
        </w:tc>
        <w:tc>
          <w:tcPr>
            <w:tcW w:w="3000" w:type="dxa"/>
          </w:tcPr>
          <w:p>
            <w:pPr>
              <w:jc w:val="right"/>
              <w:spacing w:before="0" w:after="0.1"/>
            </w:pPr>
            <w:r>
              <w:rPr>
                <w:rFonts w:ascii="Arial" w:hAnsi="Arial" w:eastAsia="Arial" w:cs="Arial"/>
                <w:sz w:val="20"/>
                <w:szCs w:val="20"/>
              </w:rPr>
              <w:t xml:space="preserve">biały</w:t>
            </w:r>
          </w:p>
        </w:tc>
      </w:tr>
      <w:tr>
        <w:trPr/>
        <w:tc>
          <w:tcPr>
            <w:tcW w:w="3000" w:type="dxa"/>
          </w:tcPr>
          <w:p>
            <w:r>
              <w:rPr>
                <w:rFonts w:ascii="Arial" w:hAnsi="Arial" w:eastAsia="Arial" w:cs="Arial"/>
                <w:sz w:val="20"/>
                <w:szCs w:val="20"/>
              </w:rPr>
              <w:t xml:space="preserve">Ciężar:</w:t>
            </w:r>
          </w:p>
        </w:tc>
        <w:tc>
          <w:tcPr>
            <w:tcW w:w="3000" w:type="dxa"/>
          </w:tcPr>
          <w:p>
            <w:pPr>
              <w:jc w:val="right"/>
              <w:spacing w:before="0" w:after="0.1"/>
            </w:pPr>
            <w:r>
              <w:rPr>
                <w:rFonts w:ascii="Arial" w:hAnsi="Arial" w:eastAsia="Arial" w:cs="Arial"/>
                <w:sz w:val="20"/>
                <w:szCs w:val="20"/>
              </w:rPr>
              <w:t xml:space="preserve">4,59 kg</w:t>
            </w:r>
          </w:p>
        </w:tc>
      </w:tr>
      <w:tr>
        <w:trPr/>
        <w:tc>
          <w:tcPr>
            <w:tcW w:w="3000" w:type="dxa"/>
          </w:tcPr>
          <w:p>
            <w:r>
              <w:rPr>
                <w:rFonts w:ascii="Arial" w:hAnsi="Arial" w:eastAsia="Arial" w:cs="Arial"/>
                <w:sz w:val="20"/>
                <w:szCs w:val="20"/>
              </w:rPr>
              <w:t xml:space="preserve">Ciężar z opakowaniem:</w:t>
            </w:r>
          </w:p>
        </w:tc>
        <w:tc>
          <w:tcPr>
            <w:tcW w:w="3000" w:type="dxa"/>
          </w:tcPr>
          <w:p>
            <w:pPr>
              <w:jc w:val="right"/>
              <w:spacing w:before="0" w:after="0.1"/>
            </w:pPr>
            <w:r>
              <w:rPr>
                <w:rFonts w:ascii="Arial" w:hAnsi="Arial" w:eastAsia="Arial" w:cs="Arial"/>
                <w:sz w:val="20"/>
                <w:szCs w:val="20"/>
              </w:rPr>
              <w:t xml:space="preserve">5,14 kg</w:t>
            </w:r>
          </w:p>
        </w:tc>
      </w:tr>
      <w:tr>
        <w:trPr/>
        <w:tc>
          <w:tcPr>
            <w:tcW w:w="3000" w:type="dxa"/>
          </w:tcPr>
          <w:p>
            <w:r>
              <w:rPr>
                <w:rFonts w:ascii="Arial" w:hAnsi="Arial" w:eastAsia="Arial" w:cs="Arial"/>
                <w:sz w:val="20"/>
                <w:szCs w:val="20"/>
              </w:rPr>
              <w:t xml:space="preserve">Średnica przyłącza:</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Szerokość:</w:t>
            </w:r>
          </w:p>
        </w:tc>
        <w:tc>
          <w:tcPr>
            <w:tcW w:w="3000" w:type="dxa"/>
          </w:tcPr>
          <w:p>
            <w:pPr>
              <w:jc w:val="right"/>
              <w:spacing w:before="0" w:after="0.1"/>
            </w:pPr>
            <w:r>
              <w:rPr>
                <w:rFonts w:ascii="Arial" w:hAnsi="Arial" w:eastAsia="Arial" w:cs="Arial"/>
                <w:sz w:val="20"/>
                <w:szCs w:val="20"/>
              </w:rPr>
              <w:t xml:space="preserve">443 mm</w:t>
            </w:r>
          </w:p>
        </w:tc>
      </w:tr>
      <w:tr>
        <w:trPr/>
        <w:tc>
          <w:tcPr>
            <w:tcW w:w="3000" w:type="dxa"/>
          </w:tcPr>
          <w:p>
            <w:r>
              <w:rPr>
                <w:rFonts w:ascii="Arial" w:hAnsi="Arial" w:eastAsia="Arial" w:cs="Arial"/>
                <w:sz w:val="20"/>
                <w:szCs w:val="20"/>
              </w:rPr>
              <w:t xml:space="preserve">wysokość:</w:t>
            </w:r>
          </w:p>
        </w:tc>
        <w:tc>
          <w:tcPr>
            <w:tcW w:w="3000" w:type="dxa"/>
          </w:tcPr>
          <w:p>
            <w:pPr>
              <w:jc w:val="right"/>
              <w:spacing w:before="0" w:after="0.1"/>
            </w:pPr>
            <w:r>
              <w:rPr>
                <w:rFonts w:ascii="Arial" w:hAnsi="Arial" w:eastAsia="Arial" w:cs="Arial"/>
                <w:sz w:val="20"/>
                <w:szCs w:val="20"/>
              </w:rPr>
              <w:t xml:space="preserve">463 mm</w:t>
            </w:r>
          </w:p>
        </w:tc>
      </w:tr>
      <w:tr>
        <w:trPr/>
        <w:tc>
          <w:tcPr>
            <w:tcW w:w="3000" w:type="dxa"/>
          </w:tcPr>
          <w:p>
            <w:r>
              <w:rPr>
                <w:rFonts w:ascii="Arial" w:hAnsi="Arial" w:eastAsia="Arial" w:cs="Arial"/>
                <w:sz w:val="20"/>
                <w:szCs w:val="20"/>
              </w:rPr>
              <w:t xml:space="preserve">Głębokość:</w:t>
            </w:r>
          </w:p>
        </w:tc>
        <w:tc>
          <w:tcPr>
            <w:tcW w:w="3000" w:type="dxa"/>
          </w:tcPr>
          <w:p>
            <w:pPr>
              <w:jc w:val="right"/>
              <w:spacing w:before="0" w:after="0.1"/>
            </w:pPr>
            <w:r>
              <w:rPr>
                <w:rFonts w:ascii="Arial" w:hAnsi="Arial" w:eastAsia="Arial" w:cs="Arial"/>
                <w:sz w:val="20"/>
                <w:szCs w:val="20"/>
              </w:rPr>
              <w:t xml:space="preserve">303 mm</w:t>
            </w:r>
          </w:p>
        </w:tc>
      </w:tr>
      <w:tr>
        <w:trPr/>
        <w:tc>
          <w:tcPr>
            <w:tcW w:w="3000" w:type="dxa"/>
          </w:tcPr>
          <w:p>
            <w:r>
              <w:rPr>
                <w:rFonts w:ascii="Arial" w:hAnsi="Arial" w:eastAsia="Arial" w:cs="Arial"/>
                <w:sz w:val="20"/>
                <w:szCs w:val="20"/>
              </w:rPr>
              <w:t xml:space="preserve">Szerokość z opakowaniem:</w:t>
            </w:r>
          </w:p>
        </w:tc>
        <w:tc>
          <w:tcPr>
            <w:tcW w:w="3000" w:type="dxa"/>
          </w:tcPr>
          <w:p>
            <w:pPr>
              <w:jc w:val="right"/>
              <w:spacing w:before="0" w:after="0.1"/>
            </w:pPr>
            <w:r>
              <w:rPr>
                <w:rFonts w:ascii="Arial" w:hAnsi="Arial" w:eastAsia="Arial" w:cs="Arial"/>
                <w:sz w:val="20"/>
                <w:szCs w:val="20"/>
              </w:rPr>
              <w:t xml:space="preserve">455 mm</w:t>
            </w:r>
          </w:p>
        </w:tc>
      </w:tr>
      <w:tr>
        <w:trPr/>
        <w:tc>
          <w:tcPr>
            <w:tcW w:w="3000" w:type="dxa"/>
          </w:tcPr>
          <w:p>
            <w:r>
              <w:rPr>
                <w:rFonts w:ascii="Arial" w:hAnsi="Arial" w:eastAsia="Arial" w:cs="Arial"/>
                <w:sz w:val="20"/>
                <w:szCs w:val="20"/>
              </w:rPr>
              <w:t xml:space="preserve">Wysokość z opakowaniem:</w:t>
            </w:r>
          </w:p>
        </w:tc>
        <w:tc>
          <w:tcPr>
            <w:tcW w:w="3000" w:type="dxa"/>
          </w:tcPr>
          <w:p>
            <w:pPr>
              <w:jc w:val="right"/>
              <w:spacing w:before="0" w:after="0.1"/>
            </w:pPr>
            <w:r>
              <w:rPr>
                <w:rFonts w:ascii="Arial" w:hAnsi="Arial" w:eastAsia="Arial" w:cs="Arial"/>
                <w:sz w:val="20"/>
                <w:szCs w:val="20"/>
              </w:rPr>
              <w:t xml:space="preserve">485 mm</w:t>
            </w:r>
          </w:p>
        </w:tc>
      </w:tr>
      <w:tr>
        <w:trPr/>
        <w:tc>
          <w:tcPr>
            <w:tcW w:w="3000" w:type="dxa"/>
          </w:tcPr>
          <w:p>
            <w:r>
              <w:rPr>
                <w:rFonts w:ascii="Arial" w:hAnsi="Arial" w:eastAsia="Arial" w:cs="Arial"/>
                <w:sz w:val="20"/>
                <w:szCs w:val="20"/>
              </w:rPr>
              <w:t xml:space="preserve">Głębokość z opakowaniem:</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Jednostka opakowaniowa:</w:t>
            </w:r>
          </w:p>
        </w:tc>
        <w:tc>
          <w:tcPr>
            <w:tcW w:w="3000" w:type="dxa"/>
          </w:tcPr>
          <w:p>
            <w:pPr>
              <w:jc w:val="right"/>
              <w:spacing w:before="0" w:after="0.1"/>
            </w:pPr>
            <w:r>
              <w:rPr>
                <w:rFonts w:ascii="Arial" w:hAnsi="Arial" w:eastAsia="Arial" w:cs="Arial"/>
                <w:sz w:val="20"/>
                <w:szCs w:val="20"/>
              </w:rPr>
              <w:t xml:space="preserve">1 sztuka</w:t>
            </w:r>
          </w:p>
        </w:tc>
      </w:tr>
      <w:tr>
        <w:trPr/>
        <w:tc>
          <w:tcPr>
            <w:tcW w:w="3000" w:type="dxa"/>
          </w:tcPr>
          <w:p>
            <w:r>
              <w:rPr>
                <w:rFonts w:ascii="Arial" w:hAnsi="Arial" w:eastAsia="Arial" w:cs="Arial"/>
                <w:sz w:val="20"/>
                <w:szCs w:val="20"/>
              </w:rPr>
              <w:t xml:space="preserve">Asortyment: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4012799862062</w:t>
            </w:r>
          </w:p>
        </w:tc>
      </w:tr>
      <w:tr>
        <w:trPr/>
        <w:tc>
          <w:tcPr>
            <w:tcW w:w="3000" w:type="dxa"/>
          </w:tcPr>
          <w:p>
            <w:r>
              <w:rPr>
                <w:rFonts w:ascii="Arial" w:hAnsi="Arial" w:eastAsia="Arial" w:cs="Arial"/>
                <w:sz w:val="20"/>
                <w:szCs w:val="20"/>
              </w:rPr>
              <w:t xml:space="preserve">Numer katalogowy:</w:t>
            </w:r>
          </w:p>
        </w:tc>
        <w:tc>
          <w:tcPr>
            <w:tcW w:w="3000" w:type="dxa"/>
          </w:tcPr>
          <w:p>
            <w:pPr>
              <w:jc w:val="right"/>
              <w:spacing w:before="0" w:after="0.1"/>
            </w:pPr>
            <w:r>
              <w:rPr>
                <w:rFonts w:ascii="Arial" w:hAnsi="Arial" w:eastAsia="Arial" w:cs="Arial"/>
                <w:sz w:val="20"/>
                <w:szCs w:val="20"/>
              </w:rPr>
              <w:t xml:space="preserve">0086.0206</w:t>
            </w:r>
          </w:p>
        </w:tc>
      </w:tr>
    </w:tbl>
    <w:p>
      <w:pPr/>
      <w:r>
        <w:rPr>
          <w:rFonts w:ascii="Arial" w:hAnsi="Arial" w:eastAsia="Arial" w:cs="Arial"/>
          <w:sz w:val="24"/>
          <w:szCs w:val="24"/>
        </w:rPr>
        <w:t xml:space="preserve">Producent: MAICO</w:t>
      </w:r>
    </w:p>
    <w:p>
      <w:pPr/>
      <w:r>
        <w:rPr>
          <w:rFonts w:ascii="Arial" w:hAnsi="Arial" w:eastAsia="Arial" w:cs="Arial"/>
          <w:sz w:val="24"/>
          <w:szCs w:val="24"/>
        </w:rPr>
        <w:t xml:space="preserve">ZEG2 EC Centralne urządzenie wywiewne</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2024-06-02T16:52:57+00:00</dcterms:created>
  <dcterms:modified xsi:type="dcterms:W3CDTF">2024-06-02T16:52:57+00:00</dcterms:modified>
</cp:coreProperties>
</file>

<file path=docProps/custom.xml><?xml version="1.0" encoding="utf-8"?>
<Properties xmlns="http://schemas.openxmlformats.org/officeDocument/2006/custom-properties" xmlns:vt="http://schemas.openxmlformats.org/officeDocument/2006/docPropsVTypes"/>
</file>