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4"/>
          <w:szCs w:val="24"/>
          <w:b/>
        </w:rPr>
        <w:t xml:space="preserve">Endmontage-Set PPB 30 RC</w:t>
      </w:r>
    </w:p>
    <w:p>
      <w:pPr/>
      <w:r>
        <w:rPr>
          <w:rFonts w:ascii="Arial" w:hAnsi="Arial" w:eastAsia="Arial" w:cs="Arial"/>
          <w:sz w:val="24"/>
          <w:szCs w:val="24"/>
        </w:rPr>
        <w:t xml:space="preserve">Zulassungen und Zertifikate</w:t>
      </w:r>
    </w:p>
    <w:p>
      <w:pPr/>
      <w:r>
        <w:rPr>
          <w:rFonts w:ascii="Arial" w:hAnsi="Arial" w:eastAsia="Arial" w:cs="Arial"/>
          <w:sz w:val="24"/>
          <w:szCs w:val="24"/>
        </w:rPr>
        <w:t xml:space="preserve">Prüfbericht nach EN 13141-8.</w:t>
      </w:r>
    </w:p>
    <w:p>
      <w:pPr/>
      <w:r>
        <w:rPr>
          <w:rFonts w:ascii="Arial" w:hAnsi="Arial" w:eastAsia="Arial" w:cs="Arial"/>
          <w:sz w:val="24"/>
          <w:szCs w:val="24"/>
        </w:rPr>
        <w:t xml:space="preserve">Eintragung in TZWL Bulletin.</w:t>
      </w:r>
    </w:p>
    <w:p/>
    <w:p>
      <w:pPr/>
      <w:r>
        <w:rPr>
          <w:rFonts w:ascii="Arial" w:hAnsi="Arial" w:eastAsia="Arial" w:cs="Arial"/>
          <w:sz w:val="24"/>
          <w:szCs w:val="24"/>
        </w:rPr>
        <w:t xml:space="preserve">Wärmetauscher</w:t>
      </w:r>
    </w:p>
    <w:p>
      <w:pPr/>
      <w:r>
        <w:rPr>
          <w:rFonts w:ascii="Arial" w:hAnsi="Arial" w:eastAsia="Arial" w:cs="Arial"/>
          <w:sz w:val="24"/>
          <w:szCs w:val="24"/>
        </w:rPr>
        <w:t xml:space="preserve">Mit den Hochleistungswärmetauschern und den hocheffizienten EC-Ventilatoren erreichen die Geräte einen Wärmebereitstellungsgrad von 73 % beim Referenzvolumenstrom nach EN 13141-8.</w:t>
      </w:r>
    </w:p>
    <w:p/>
    <w:p>
      <w:pPr/>
      <w:r>
        <w:rPr>
          <w:rFonts w:ascii="Arial" w:hAnsi="Arial" w:eastAsia="Arial" w:cs="Arial"/>
          <w:sz w:val="24"/>
          <w:szCs w:val="24"/>
        </w:rPr>
        <w:t xml:space="preserve">Montagehinweise</w:t>
      </w:r>
    </w:p>
    <w:p/>
    <w:p>
      <w:pPr/>
      <w:r>
        <w:rPr>
          <w:rFonts w:ascii="Arial" w:hAnsi="Arial" w:eastAsia="Arial" w:cs="Arial"/>
          <w:sz w:val="24"/>
          <w:szCs w:val="24"/>
        </w:rPr>
        <w:t xml:space="preserve">Montage erfolgt in 2 Schritten:</w:t>
      </w:r>
    </w:p>
    <w:p>
      <w:pPr/>
      <w:r>
        <w:rPr>
          <w:rFonts w:ascii="Arial" w:hAnsi="Arial" w:eastAsia="Arial" w:cs="Arial"/>
          <w:sz w:val="24"/>
          <w:szCs w:val="24"/>
        </w:rPr>
        <w:t xml:space="preserve">Einbau der Rohbauhülse PP 45 RHK (DN 160) oder PP 45 RHL (DN 160) sowie einer Außenabdeckung in eine Kernlochbohrung DN 160 mit einer Neigung von 1-2 %.</w:t>
      </w:r>
    </w:p>
    <w:p>
      <w:pPr/>
      <w:r>
        <w:rPr>
          <w:rFonts w:ascii="Arial" w:hAnsi="Arial" w:eastAsia="Arial" w:cs="Arial"/>
          <w:sz w:val="24"/>
          <w:szCs w:val="24"/>
        </w:rPr>
        <w:t xml:space="preserve">Wir empfehlen die Kernbohrung mit DN 182 auszuführen und die Neigung der Hülse mittels beigelegter Styroporkeile auszurichten.</w:t>
      </w:r>
    </w:p>
    <w:p>
      <w:pPr/>
      <w:r>
        <w:rPr>
          <w:rFonts w:ascii="Arial" w:hAnsi="Arial" w:eastAsia="Arial" w:cs="Arial"/>
          <w:sz w:val="24"/>
          <w:szCs w:val="24"/>
        </w:rPr>
        <w:t xml:space="preserve">Die Rohbauhülse ist mit Putzschutzdeckeln vor Verunreinigungen geschützt.</w:t>
      </w:r>
    </w:p>
    <w:p>
      <w:pPr/>
      <w:r>
        <w:rPr>
          <w:rFonts w:ascii="Arial" w:hAnsi="Arial" w:eastAsia="Arial" w:cs="Arial"/>
          <w:sz w:val="24"/>
          <w:szCs w:val="24"/>
        </w:rPr>
        <w:t xml:space="preserve">Anschließend folgt die Integration des Endmontage-Sets.</w:t>
      </w:r>
    </w:p>
    <w:p>
      <w:pPr/>
      <w:r>
        <w:rPr>
          <w:rFonts w:ascii="Arial" w:hAnsi="Arial" w:eastAsia="Arial" w:cs="Arial"/>
          <w:sz w:val="24"/>
          <w:szCs w:val="24"/>
        </w:rPr>
        <w:t xml:space="preserve">Keine Rohrverlegung notwendig und keine Einregulierung der Anlage notwendig.</w:t>
      </w:r>
    </w:p>
    <w:p/>
    <w:p/>
    <w:p>
      <w:pPr/>
      <w:r>
        <w:rPr>
          <w:rFonts w:ascii="Arial" w:hAnsi="Arial" w:eastAsia="Arial" w:cs="Arial"/>
          <w:sz w:val="24"/>
          <w:szCs w:val="24"/>
        </w:rPr>
        <w:t xml:space="preserve">Elektrischer Anschluss</w:t>
      </w:r>
    </w:p>
    <w:p>
      <w:pPr/>
      <w:r>
        <w:rPr>
          <w:rFonts w:ascii="Arial" w:hAnsi="Arial" w:eastAsia="Arial" w:cs="Arial"/>
          <w:sz w:val="24"/>
          <w:szCs w:val="24"/>
        </w:rPr>
        <w:t xml:space="preserve">Das Gerät wird betriebsfertig montiert geliefert.</w:t>
      </w:r>
    </w:p>
    <w:p>
      <w:pPr/>
      <w:r>
        <w:rPr>
          <w:rFonts w:ascii="Arial" w:hAnsi="Arial" w:eastAsia="Arial" w:cs="Arial"/>
          <w:sz w:val="24"/>
          <w:szCs w:val="24"/>
        </w:rPr>
        <w:t xml:space="preserve">Das PPB 30 RC wird direkt an 230 V angeschlossen. ACHTUNG: Einsatzbereich (Schutzbereich) des Gerätes prüfen.</w:t>
      </w:r>
    </w:p>
    <w:p/>
    <w:p>
      <w:pPr/>
      <w:r>
        <w:rPr>
          <w:rFonts w:ascii="Arial" w:hAnsi="Arial" w:eastAsia="Arial" w:cs="Arial"/>
          <w:sz w:val="24"/>
          <w:szCs w:val="24"/>
        </w:rPr>
        <w:t xml:space="preserve">Kondensatablauf</w:t>
      </w:r>
    </w:p>
    <w:p>
      <w:pPr/>
      <w:r>
        <w:rPr>
          <w:rFonts w:ascii="Arial" w:hAnsi="Arial" w:eastAsia="Arial" w:cs="Arial"/>
          <w:sz w:val="24"/>
          <w:szCs w:val="24"/>
        </w:rPr>
        <w:t xml:space="preserve">Die Abführung des Kondensats erfolgt über eine integrierte Kondensatabtropfkante in der Außenabdeckung.</w:t>
      </w:r>
    </w:p>
    <w:p/>
    <w:p>
      <w:pPr/>
      <w:r>
        <w:rPr>
          <w:rFonts w:ascii="Arial" w:hAnsi="Arial" w:eastAsia="Arial" w:cs="Arial"/>
          <w:sz w:val="24"/>
          <w:szCs w:val="24"/>
        </w:rPr>
        <w:t xml:space="preserve">Besondere Eigenschaften</w:t>
      </w:r>
    </w:p>
    <w:p>
      <w:pPr/>
      <w:r>
        <w:rPr>
          <w:rFonts w:ascii="Arial" w:hAnsi="Arial" w:eastAsia="Arial" w:cs="Arial"/>
          <w:sz w:val="24"/>
          <w:szCs w:val="24"/>
        </w:rPr>
        <w:t xml:space="preserve">Das PPB 30 RC Gerät ist eine perfekte Ergänzung für PP 45 RC Geräte um ein Lüftungssystem nach DIN 1946-6 über eine zentrale Steuerung (DS 45 RC) aufzubauen.</w:t>
      </w:r>
    </w:p>
    <w:p>
      <w:pPr/>
      <w:r>
        <w:rPr>
          <w:rFonts w:ascii="Arial" w:hAnsi="Arial" w:eastAsia="Arial" w:cs="Arial"/>
          <w:sz w:val="24"/>
          <w:szCs w:val="24"/>
        </w:rPr>
        <w:t xml:space="preserve">Die PPB 30 RC Geräte haben serienmäßig einen Feuchtesensor und sind primär für den Einbau in den Ablufträumen konzipiert. Die Schutzart IP X4 erleichtert die Wahl des Montageortes im Bad.</w:t>
      </w:r>
    </w:p>
    <w:p>
      <w:pPr/>
      <w:r>
        <w:rPr>
          <w:rFonts w:ascii="Arial" w:hAnsi="Arial" w:eastAsia="Arial" w:cs="Arial"/>
          <w:sz w:val="24"/>
          <w:szCs w:val="24"/>
        </w:rPr>
        <w:t xml:space="preserve">Die Energieeffizienz vom PPB 30 RC überzeugt mit einem SPI-Wert von 0,18 Wh/m³.</w:t>
      </w:r>
    </w:p>
    <w:p>
      <w:pPr/>
      <w:r>
        <w:rPr>
          <w:rFonts w:ascii="Arial" w:hAnsi="Arial" w:eastAsia="Arial" w:cs="Arial"/>
          <w:sz w:val="24"/>
          <w:szCs w:val="24"/>
        </w:rPr>
        <w:t xml:space="preserve">Durch die energiesparenden Motoren, einem sehr guten sensorgeführten Betrieb erreichen die Geräte die Energieeffizienzklasse von A.</w:t>
      </w:r>
    </w:p>
    <w:p>
      <w:pPr/>
      <w:r>
        <w:rPr>
          <w:rFonts w:ascii="Arial" w:hAnsi="Arial" w:eastAsia="Arial" w:cs="Arial"/>
          <w:sz w:val="24"/>
          <w:szCs w:val="24"/>
        </w:rPr>
        <w:t xml:space="preserve">Das PPB 30 RC Gerät kann in 5 Lüftungsstufen 5/12/18/22/26 m³/h und 3 Betriebsarten Dauerentlüftung mit Wärmerückgewinnung, Querlüftung ohne Wärmerückgewinnung und Automatikbetrieb betrieben werden.</w:t>
      </w:r>
    </w:p>
    <w:p>
      <w:pPr/>
      <w:r>
        <w:rPr>
          <w:rFonts w:ascii="Arial" w:hAnsi="Arial" w:eastAsia="Arial" w:cs="Arial"/>
          <w:sz w:val="24"/>
          <w:szCs w:val="24"/>
        </w:rPr>
        <w:t xml:space="preserve">Die empfohlene Kombinationsmöglichkeit für funkgesteuertes System ist 2 x bzw. 4 x PP 45 RC + 1 x PPB 30 RC + 1 x DS 45 RC.</w:t>
      </w:r>
    </w:p>
    <w:p>
      <w:pPr/>
      <w:r>
        <w:rPr>
          <w:rFonts w:ascii="Arial" w:hAnsi="Arial" w:eastAsia="Arial" w:cs="Arial"/>
          <w:sz w:val="24"/>
          <w:szCs w:val="24"/>
        </w:rPr>
        <w:t xml:space="preserve">In diesem Fall kann das PPB 30 RC Gerät in zwei verschiedenen Betriebsmodi betrieben werden. Im Autobetrieb arbeitet das Gerät komplett autark in Abhängigkeit des Feuchtewertes vom integrierten Sensor. Im Autobetrieb werden von dem Funkschalter DS 45 RC lediglich die Befehle „Extern Aus“ und „Lüftungsstufe 0“ ausgeführt. Im Systembetrieb arbeitet das Gerät komplett nach Vorgaben des Funkschalters DS 45 RC. Nur im Falle der Feuchtelast (Grenzwert einstellbar) koppelt sich das Gerät vom System ab und startet die Entfeuchtung.</w:t>
      </w:r>
    </w:p>
    <w:p>
      <w:pPr/>
      <w:r>
        <w:rPr>
          <w:rFonts w:ascii="Arial" w:hAnsi="Arial" w:eastAsia="Arial" w:cs="Arial"/>
          <w:sz w:val="24"/>
          <w:szCs w:val="24"/>
        </w:rPr>
        <w:t xml:space="preserve">Die Entfeuchtungsautomatik kann als Intensivlüftungsbetrieb (Stufe 5 mit Wärmerückgewinnung) oder als Abluftbetrieb (45 m³/h ohne Wärmerückgewinnung) eingestellt werden.</w:t>
      </w:r>
    </w:p>
    <w:p>
      <w:pPr/>
      <w:r>
        <w:rPr>
          <w:rFonts w:ascii="Arial" w:hAnsi="Arial" w:eastAsia="Arial" w:cs="Arial"/>
          <w:sz w:val="24"/>
          <w:szCs w:val="24"/>
        </w:rPr>
        <w:t xml:space="preserve">Im Falle der Geruchslast kann der Intensivlüftungsbetrieb (Stufe 5 mit Wärmerückgewinnung) oder Abluftbetrieb (45 m³/h ohne Wärmerückgewinnung) ebenso manuell mit einem Taster/Schalter ausgelöst werden. Die Dauer dieser Funktion ist einstellbar (Werkseinstellung = 10 min).</w:t>
      </w:r>
    </w:p>
    <w:p>
      <w:pPr/>
      <w:r>
        <w:rPr>
          <w:rFonts w:ascii="Arial" w:hAnsi="Arial" w:eastAsia="Arial" w:cs="Arial"/>
          <w:sz w:val="24"/>
          <w:szCs w:val="24"/>
        </w:rPr>
        <w:t xml:space="preserve">Im Falle des Abluftbetriebes vom PPB 30 RC sorgen die an dem Funkschalter DS 45 RC eingelernten PP 45 RC Geräte für die notwendige Zuluft.</w:t>
      </w:r>
    </w:p>
    <w:p>
      <w:pPr/>
      <w:r>
        <w:rPr>
          <w:rFonts w:ascii="Arial" w:hAnsi="Arial" w:eastAsia="Arial" w:cs="Arial"/>
          <w:sz w:val="24"/>
          <w:szCs w:val="24"/>
        </w:rPr>
        <w:t xml:space="preserve">Strömungsoptimierte Außenabdeckungen im Zubehörprogramm halten die Abluft von der Außenfassade fern.</w:t>
      </w:r>
    </w:p>
    <w:p/>
    <w:p>
      <w:pPr/>
      <w:r>
        <w:rPr>
          <w:rFonts w:ascii="Arial" w:hAnsi="Arial" w:eastAsia="Arial" w:cs="Arial"/>
          <w:sz w:val="24"/>
          <w:szCs w:val="24"/>
        </w:rPr>
        <w:t xml:space="preserve">Merkmale</w:t>
      </w:r>
    </w:p>
    <w:p>
      <w:pPr/>
      <w:r>
        <w:rPr>
          <w:rFonts w:ascii="Arial" w:hAnsi="Arial" w:eastAsia="Arial" w:cs="Arial"/>
          <w:sz w:val="24"/>
          <w:szCs w:val="24"/>
        </w:rPr>
        <w:t xml:space="preserve">Endmontage-Set für das Einzelraumlüftungsgerät PushPull Balanced PPB 30 mit zwei Ventilatoren, zwei Keramik-Wärmeüberträger, Innenabdeckung und zwei integrierten Filtern ISO Coarse 45 % (G3), so dass die Luft in beide Richtungen gefiltert wird.</w:t>
      </w:r>
    </w:p>
    <w:p/>
    <w:p>
      <w:pPr/>
      <w:r>
        <w:rPr>
          <w:rFonts w:ascii="Arial" w:hAnsi="Arial" w:eastAsia="Arial" w:cs="Arial"/>
          <w:sz w:val="24"/>
          <w:szCs w:val="24"/>
        </w:rPr>
        <w:t xml:space="preserve">Notwendiges Zubehör</w:t>
      </w:r>
    </w:p>
    <w:p>
      <w:pPr/>
      <w:r>
        <w:rPr>
          <w:rFonts w:ascii="Arial" w:hAnsi="Arial" w:eastAsia="Arial" w:cs="Arial"/>
          <w:sz w:val="24"/>
          <w:szCs w:val="24"/>
        </w:rPr>
        <w:t xml:space="preserve">Rohbauhülse PP 45 RHK oder PP 45 RHL</w:t>
      </w:r>
    </w:p>
    <w:p>
      <w:pPr/>
      <w:r>
        <w:rPr>
          <w:rFonts w:ascii="Arial" w:hAnsi="Arial" w:eastAsia="Arial" w:cs="Arial"/>
          <w:sz w:val="24"/>
          <w:szCs w:val="24"/>
        </w:rPr>
        <w:t xml:space="preserve">Außenabdeckung PPB 30 AK, PPB 30 AE, PPB 30 AW oder PPB 30 AS</w:t>
      </w:r>
    </w:p>
    <w:p>
      <w:pPr/>
      <w:r>
        <w:rPr>
          <w:rFonts w:ascii="Arial" w:hAnsi="Arial" w:eastAsia="Arial" w:cs="Arial"/>
          <w:sz w:val="24"/>
          <w:szCs w:val="24"/>
        </w:rPr>
        <w:t xml:space="preserve">DS 45 RC: Mit dem Funkschalter DS 45 RC kann man ein funkgesteuertes Lüftungssystem aus PPB 30 RC und PP 45 RC Geräten aufbauen, z.B. 4 x PP 45 RC + 1 x PPB 30 RC + 1 x DS 45 RC.</w:t>
      </w:r>
    </w:p>
    <w:p>
      <w:pPr/>
      <w:r>
        <w:rPr>
          <w:rFonts w:ascii="Arial" w:hAnsi="Arial" w:eastAsia="Arial" w:cs="Arial"/>
          <w:sz w:val="24"/>
          <w:szCs w:val="24"/>
        </w:rPr>
        <w:t xml:space="preserve">PP 45 EO: Wird die Raumluftsteuerung RLS 45 K mit PP 45 EO erweitert, können die kabelgebundenen Geräte mit Funkgeräten kombiniert werden, z.B. 4x PP 45 K/O + 1 x PPB 30 RC + 1 x RLS 45 K + 1 x PP 45 EO.</w:t>
      </w:r>
    </w:p>
    <w:p/>
    <w:p>
      <w:pPr/>
      <w:r>
        <w:rPr>
          <w:rFonts w:ascii="Arial" w:hAnsi="Arial" w:eastAsia="Arial" w:cs="Arial"/>
          <w:sz w:val="24"/>
          <w:szCs w:val="24"/>
        </w:rPr>
        <w:t xml:space="preserve">Optionales Zubehör</w:t>
      </w:r>
    </w:p>
    <w:p>
      <w:pPr/>
      <w:r>
        <w:rPr>
          <w:rFonts w:ascii="Arial" w:hAnsi="Arial" w:eastAsia="Arial" w:cs="Arial"/>
          <w:sz w:val="24"/>
          <w:szCs w:val="24"/>
        </w:rPr>
        <w:t xml:space="preserve">Verlängerungsset PPB 30 VS</w:t>
      </w:r>
    </w:p>
    <w:p>
      <w:pPr/>
      <w:r>
        <w:rPr>
          <w:rFonts w:ascii="Arial" w:hAnsi="Arial" w:eastAsia="Arial" w:cs="Arial"/>
          <w:sz w:val="24"/>
          <w:szCs w:val="24"/>
        </w:rPr>
        <w:t xml:space="preserve">Mauerblock PP 45 MB</w:t>
      </w:r>
    </w:p>
    <w:p>
      <w:pPr/>
      <w:r>
        <w:rPr>
          <w:rFonts w:ascii="Arial" w:hAnsi="Arial" w:eastAsia="Arial" w:cs="Arial"/>
          <w:sz w:val="24"/>
          <w:szCs w:val="24"/>
        </w:rPr>
        <w:t xml:space="preserve">Ausgleichsrahmen PPB 30 ARE und PPB 30 ARW</w:t>
      </w:r>
    </w:p>
    <w:p>
      <w:pPr/>
      <w:r>
        <w:rPr>
          <w:rFonts w:ascii="Arial" w:hAnsi="Arial" w:eastAsia="Arial" w:cs="Arial"/>
          <w:sz w:val="24"/>
          <w:szCs w:val="24"/>
        </w:rPr>
        <w:t xml:space="preserve">Befestigungsblech PPB 30 ARE BB und PPB 30 ARW BB für Ausgleichrahmen</w:t>
      </w:r>
    </w:p>
    <w:p>
      <w:pPr/>
      <w:r>
        <w:rPr>
          <w:rFonts w:ascii="Arial" w:hAnsi="Arial" w:eastAsia="Arial" w:cs="Arial"/>
          <w:sz w:val="24"/>
          <w:szCs w:val="24"/>
        </w:rPr>
        <w:t xml:space="preserve">Feuchtesensor PP 45 HYI und PP 45 HY</w:t>
      </w:r>
    </w:p>
    <w:p>
      <w:pPr/>
      <w:r>
        <w:rPr>
          <w:rFonts w:ascii="Arial" w:hAnsi="Arial" w:eastAsia="Arial" w:cs="Arial"/>
          <w:sz w:val="24"/>
          <w:szCs w:val="24"/>
        </w:rPr>
        <w:t xml:space="preserve">CO2-Sensor PP 45 CO2</w:t>
      </w:r>
    </w:p>
    <w:p>
      <w:pPr/>
      <w:r>
        <w:rPr>
          <w:rFonts w:ascii="Arial" w:hAnsi="Arial" w:eastAsia="Arial" w:cs="Arial"/>
          <w:sz w:val="24"/>
          <w:szCs w:val="24"/>
        </w:rPr>
        <w:t xml:space="preserve">VOC-Sensor PP 45 VOC</w:t>
      </w:r>
    </w:p>
    <w:p>
      <w:pPr/>
      <w:r>
        <w:rPr>
          <w:rFonts w:ascii="Arial" w:hAnsi="Arial" w:eastAsia="Arial" w:cs="Arial"/>
          <w:sz w:val="24"/>
          <w:szCs w:val="24"/>
        </w:rPr>
        <w:t xml:space="preserve">Luftfilter, Ersatz PPB 30 G3</w:t>
      </w:r>
    </w:p>
    <w:p/>
    <w:p>
      <w:pPr/>
      <w:r>
        <w:rPr>
          <w:rFonts w:ascii="Arial" w:hAnsi="Arial" w:eastAsia="Arial" w:cs="Arial"/>
          <w:sz w:val="24"/>
          <w:szCs w:val="24"/>
        </w:rPr>
        <w:t xml:space="preserve">Technische Daten</w:t>
      </w:r>
    </w:p>
    <w:tbl>
      <w:tblGrid>
        <w:gridCol w:w="3000" w:type="dxa"/>
        <w:gridCol w:w="3000" w:type="dxa"/>
      </w:tblGrid>
      <w:tr>
        <w:trPr/>
        <w:tc>
          <w:tcPr>
            <w:tcW w:w="3000" w:type="dxa"/>
          </w:tcPr>
          <w:p>
            <w:r>
              <w:rPr>
                <w:rFonts w:ascii="Arial" w:hAnsi="Arial" w:eastAsia="Arial" w:cs="Arial"/>
                <w:sz w:val="20"/>
                <w:szCs w:val="20"/>
              </w:rPr>
              <w:t xml:space="preserve">Artikel:</w:t>
            </w:r>
          </w:p>
        </w:tc>
        <w:tc>
          <w:tcPr>
            <w:tcW w:w="3000" w:type="dxa"/>
          </w:tcPr>
          <w:p>
            <w:pPr>
              <w:jc w:val="right"/>
              <w:spacing w:before="0" w:after="0.1"/>
            </w:pPr>
            <w:r>
              <w:rPr>
                <w:rFonts w:ascii="Arial" w:hAnsi="Arial" w:eastAsia="Arial" w:cs="Arial"/>
                <w:sz w:val="20"/>
                <w:szCs w:val="20"/>
              </w:rPr>
              <w:t xml:space="preserve">PPB 30 RC</w:t>
            </w:r>
          </w:p>
        </w:tc>
      </w:tr>
      <w:tr>
        <w:trPr/>
        <w:tc>
          <w:tcPr>
            <w:tcW w:w="3000" w:type="dxa"/>
          </w:tcPr>
          <w:p>
            <w:r>
              <w:rPr>
                <w:rFonts w:ascii="Arial" w:hAnsi="Arial" w:eastAsia="Arial" w:cs="Arial"/>
                <w:sz w:val="20"/>
                <w:szCs w:val="20"/>
              </w:rPr>
              <w:t xml:space="preserve">Ausführung:</w:t>
            </w:r>
          </w:p>
        </w:tc>
        <w:tc>
          <w:tcPr>
            <w:tcW w:w="3000" w:type="dxa"/>
          </w:tcPr>
          <w:p>
            <w:pPr>
              <w:jc w:val="right"/>
              <w:spacing w:before="0" w:after="0.1"/>
            </w:pPr>
            <w:r>
              <w:rPr>
                <w:rFonts w:ascii="Arial" w:hAnsi="Arial" w:eastAsia="Arial" w:cs="Arial"/>
                <w:sz w:val="20"/>
                <w:szCs w:val="20"/>
              </w:rPr>
              <w:t xml:space="preserve">Funkversion, integrierter Feuchtesensor</w:t>
            </w:r>
          </w:p>
        </w:tc>
      </w:tr>
      <w:tr>
        <w:trPr/>
        <w:tc>
          <w:tcPr>
            <w:tcW w:w="3000" w:type="dxa"/>
          </w:tcPr>
          <w:p>
            <w:r>
              <w:rPr>
                <w:rFonts w:ascii="Arial" w:hAnsi="Arial" w:eastAsia="Arial" w:cs="Arial"/>
                <w:sz w:val="20"/>
                <w:szCs w:val="20"/>
              </w:rPr>
              <w:t xml:space="preserve">Fördervolumen:</w:t>
            </w:r>
          </w:p>
        </w:tc>
        <w:tc>
          <w:tcPr>
            <w:tcW w:w="3000" w:type="dxa"/>
          </w:tcPr>
          <w:p>
            <w:pPr>
              <w:jc w:val="right"/>
              <w:spacing w:before="0" w:after="0.1"/>
            </w:pPr>
            <w:r>
              <w:rPr>
                <w:rFonts w:ascii="Arial" w:hAnsi="Arial" w:eastAsia="Arial" w:cs="Arial"/>
                <w:sz w:val="20"/>
                <w:szCs w:val="20"/>
              </w:rPr>
              <w:t xml:space="preserve">5 m³/h / 12 m³/h / 18 m³/h / 22 m³/h / 26 m³/h</w:t>
            </w:r>
          </w:p>
        </w:tc>
      </w:tr>
      <w:tr>
        <w:trPr/>
        <w:tc>
          <w:tcPr>
            <w:tcW w:w="3000" w:type="dxa"/>
          </w:tcPr>
          <w:p>
            <w:r>
              <w:rPr>
                <w:rFonts w:ascii="Arial" w:hAnsi="Arial" w:eastAsia="Arial" w:cs="Arial"/>
                <w:sz w:val="20"/>
                <w:szCs w:val="20"/>
              </w:rPr>
              <w:t xml:space="preserve">SEC average:</w:t>
            </w:r>
          </w:p>
        </w:tc>
        <w:tc>
          <w:tcPr>
            <w:tcW w:w="3000" w:type="dxa"/>
          </w:tcPr>
          <w:p>
            <w:pPr>
              <w:jc w:val="right"/>
              <w:spacing w:before="0" w:after="0.1"/>
            </w:pPr>
            <w:r>
              <w:rPr>
                <w:rFonts w:ascii="Arial" w:hAnsi="Arial" w:eastAsia="Arial" w:cs="Arial"/>
                <w:sz w:val="20"/>
                <w:szCs w:val="20"/>
              </w:rPr>
              <w:t xml:space="preserve">-40,23 kWh/(m²*a)</w:t>
            </w:r>
          </w:p>
        </w:tc>
      </w:tr>
      <w:tr>
        <w:trPr/>
        <w:tc>
          <w:tcPr>
            <w:tcW w:w="3000" w:type="dxa"/>
          </w:tcPr>
          <w:p>
            <w:r>
              <w:rPr>
                <w:rFonts w:ascii="Arial" w:hAnsi="Arial" w:eastAsia="Arial" w:cs="Arial"/>
                <w:sz w:val="20"/>
                <w:szCs w:val="20"/>
              </w:rPr>
              <w:t xml:space="preserve">Energieeffizienzklasse:</w:t>
            </w:r>
          </w:p>
        </w:tc>
        <w:tc>
          <w:tcPr>
            <w:tcW w:w="3000" w:type="dxa"/>
          </w:tcPr>
          <w:p>
            <w:pPr>
              <w:jc w:val="right"/>
              <w:spacing w:before="0" w:after="0.1"/>
            </w:pPr>
            <w:r>
              <w:rPr>
                <w:rFonts w:ascii="Arial" w:hAnsi="Arial" w:eastAsia="Arial" w:cs="Arial"/>
                <w:sz w:val="20"/>
                <w:szCs w:val="20"/>
              </w:rPr>
              <w:t xml:space="preserve">A</w:t>
            </w:r>
          </w:p>
        </w:tc>
      </w:tr>
      <w:tr>
        <w:trPr/>
        <w:tc>
          <w:tcPr>
            <w:tcW w:w="3000" w:type="dxa"/>
          </w:tcPr>
          <w:p>
            <w:r>
              <w:rPr>
                <w:rFonts w:ascii="Arial" w:hAnsi="Arial" w:eastAsia="Arial" w:cs="Arial"/>
                <w:sz w:val="20"/>
                <w:szCs w:val="20"/>
              </w:rPr>
              <w:t xml:space="preserve">Bemessungsspannung:</w:t>
            </w:r>
          </w:p>
        </w:tc>
        <w:tc>
          <w:tcPr>
            <w:tcW w:w="3000" w:type="dxa"/>
          </w:tcPr>
          <w:p>
            <w:pPr>
              <w:jc w:val="right"/>
              <w:spacing w:before="0" w:after="0.1"/>
            </w:pPr>
            <w:r>
              <w:rPr>
                <w:rFonts w:ascii="Arial" w:hAnsi="Arial" w:eastAsia="Arial" w:cs="Arial"/>
                <w:sz w:val="20"/>
                <w:szCs w:val="20"/>
              </w:rPr>
              <w:t xml:space="preserve">230 V</w:t>
            </w:r>
          </w:p>
        </w:tc>
      </w:tr>
      <w:tr>
        <w:trPr/>
        <w:tc>
          <w:tcPr>
            <w:tcW w:w="3000" w:type="dxa"/>
          </w:tcPr>
          <w:p>
            <w:r>
              <w:rPr>
                <w:rFonts w:ascii="Arial" w:hAnsi="Arial" w:eastAsia="Arial" w:cs="Arial"/>
                <w:sz w:val="20"/>
                <w:szCs w:val="20"/>
              </w:rPr>
              <w:t xml:space="preserve">SPI-Wert nach DIN EN 13141-8:</w:t>
            </w:r>
          </w:p>
        </w:tc>
        <w:tc>
          <w:tcPr>
            <w:tcW w:w="3000" w:type="dxa"/>
          </w:tcPr>
          <w:p>
            <w:pPr>
              <w:jc w:val="right"/>
              <w:spacing w:before="0" w:after="0.1"/>
            </w:pPr>
            <w:r>
              <w:rPr>
                <w:rFonts w:ascii="Arial" w:hAnsi="Arial" w:eastAsia="Arial" w:cs="Arial"/>
                <w:sz w:val="20"/>
                <w:szCs w:val="20"/>
              </w:rPr>
              <w:t xml:space="preserve">0,19 Wh/m³</w:t>
            </w:r>
          </w:p>
        </w:tc>
      </w:tr>
      <w:tr>
        <w:trPr/>
        <w:tc>
          <w:tcPr>
            <w:tcW w:w="3000" w:type="dxa"/>
          </w:tcPr>
          <w:p>
            <w:r>
              <w:rPr>
                <w:rFonts w:ascii="Arial" w:hAnsi="Arial" w:eastAsia="Arial" w:cs="Arial"/>
                <w:sz w:val="20"/>
                <w:szCs w:val="20"/>
              </w:rPr>
              <w:t xml:space="preserve">Maximale Leistungsaufnahme:</w:t>
            </w:r>
          </w:p>
        </w:tc>
        <w:tc>
          <w:tcPr>
            <w:tcW w:w="3000" w:type="dxa"/>
          </w:tcPr>
          <w:p>
            <w:pPr>
              <w:jc w:val="right"/>
              <w:spacing w:before="0" w:after="0.1"/>
            </w:pPr>
            <w:r>
              <w:rPr>
                <w:rFonts w:ascii="Arial" w:hAnsi="Arial" w:eastAsia="Arial" w:cs="Arial"/>
                <w:sz w:val="20"/>
                <w:szCs w:val="20"/>
              </w:rPr>
              <w:t xml:space="preserve">2 W / 2,5 W / 3,2 W / 4 W / 5,1 W</w:t>
            </w:r>
          </w:p>
        </w:tc>
      </w:tr>
      <w:tr>
        <w:trPr/>
        <w:tc>
          <w:tcPr>
            <w:tcW w:w="3000" w:type="dxa"/>
          </w:tcPr>
          <w:p>
            <w:r>
              <w:rPr>
                <w:rFonts w:ascii="Arial" w:hAnsi="Arial" w:eastAsia="Arial" w:cs="Arial"/>
                <w:sz w:val="20"/>
                <w:szCs w:val="20"/>
              </w:rPr>
              <w:t xml:space="preserve">Schutzart:</w:t>
            </w:r>
          </w:p>
        </w:tc>
        <w:tc>
          <w:tcPr>
            <w:tcW w:w="3000" w:type="dxa"/>
          </w:tcPr>
          <w:p>
            <w:pPr>
              <w:jc w:val="right"/>
              <w:spacing w:before="0" w:after="0.1"/>
            </w:pPr>
            <w:r>
              <w:rPr>
                <w:rFonts w:ascii="Arial" w:hAnsi="Arial" w:eastAsia="Arial" w:cs="Arial"/>
                <w:sz w:val="20"/>
                <w:szCs w:val="20"/>
              </w:rPr>
              <w:t xml:space="preserve">IP X4</w:t>
            </w:r>
          </w:p>
        </w:tc>
      </w:tr>
      <w:tr>
        <w:trPr/>
        <w:tc>
          <w:tcPr>
            <w:tcW w:w="3000" w:type="dxa"/>
          </w:tcPr>
          <w:p>
            <w:r>
              <w:rPr>
                <w:rFonts w:ascii="Arial" w:hAnsi="Arial" w:eastAsia="Arial" w:cs="Arial"/>
                <w:sz w:val="20"/>
                <w:szCs w:val="20"/>
              </w:rPr>
              <w:t xml:space="preserve">Einbaulage:</w:t>
            </w:r>
          </w:p>
        </w:tc>
        <w:tc>
          <w:tcPr>
            <w:tcW w:w="3000" w:type="dxa"/>
          </w:tcPr>
          <w:p>
            <w:pPr>
              <w:jc w:val="right"/>
              <w:spacing w:before="0" w:after="0.1"/>
            </w:pPr>
            <w:r>
              <w:rPr>
                <w:rFonts w:ascii="Arial" w:hAnsi="Arial" w:eastAsia="Arial" w:cs="Arial"/>
                <w:sz w:val="20"/>
                <w:szCs w:val="20"/>
              </w:rPr>
              <w:t xml:space="preserve">waagerecht</w:t>
            </w:r>
          </w:p>
        </w:tc>
      </w:tr>
      <w:tr>
        <w:trPr/>
        <w:tc>
          <w:tcPr>
            <w:tcW w:w="3000" w:type="dxa"/>
          </w:tcPr>
          <w:p>
            <w:r>
              <w:rPr>
                <w:rFonts w:ascii="Arial" w:hAnsi="Arial" w:eastAsia="Arial" w:cs="Arial"/>
                <w:sz w:val="20"/>
                <w:szCs w:val="20"/>
              </w:rPr>
              <w:t xml:space="preserve">Systemart:</w:t>
            </w:r>
          </w:p>
        </w:tc>
        <w:tc>
          <w:tcPr>
            <w:tcW w:w="3000" w:type="dxa"/>
          </w:tcPr>
          <w:p>
            <w:pPr>
              <w:jc w:val="right"/>
              <w:spacing w:before="0" w:after="0.1"/>
            </w:pPr>
            <w:r>
              <w:rPr>
                <w:rFonts w:ascii="Arial" w:hAnsi="Arial" w:eastAsia="Arial" w:cs="Arial"/>
                <w:sz w:val="20"/>
                <w:szCs w:val="20"/>
              </w:rPr>
              <w:t xml:space="preserve">dezentral</w:t>
            </w:r>
          </w:p>
        </w:tc>
      </w:tr>
      <w:tr>
        <w:trPr/>
        <w:tc>
          <w:tcPr>
            <w:tcW w:w="3000" w:type="dxa"/>
          </w:tcPr>
          <w:p>
            <w:r>
              <w:rPr>
                <w:rFonts w:ascii="Arial" w:hAnsi="Arial" w:eastAsia="Arial" w:cs="Arial"/>
                <w:sz w:val="20"/>
                <w:szCs w:val="20"/>
              </w:rPr>
              <w:t xml:space="preserve">Material:</w:t>
            </w:r>
          </w:p>
        </w:tc>
        <w:tc>
          <w:tcPr>
            <w:tcW w:w="3000" w:type="dxa"/>
          </w:tcPr>
          <w:p>
            <w:pPr>
              <w:jc w:val="right"/>
              <w:spacing w:before="0" w:after="0.1"/>
            </w:pPr>
            <w:r>
              <w:rPr>
                <w:rFonts w:ascii="Arial" w:hAnsi="Arial" w:eastAsia="Arial" w:cs="Arial"/>
                <w:sz w:val="20"/>
                <w:szCs w:val="20"/>
              </w:rPr>
              <w:t xml:space="preserve">Kunststoff</w:t>
            </w:r>
          </w:p>
        </w:tc>
      </w:tr>
      <w:tr>
        <w:trPr/>
        <w:tc>
          <w:tcPr>
            <w:tcW w:w="3000" w:type="dxa"/>
          </w:tcPr>
          <w:p>
            <w:r>
              <w:rPr>
                <w:rFonts w:ascii="Arial" w:hAnsi="Arial" w:eastAsia="Arial" w:cs="Arial"/>
                <w:sz w:val="20"/>
                <w:szCs w:val="20"/>
              </w:rPr>
              <w:t xml:space="preserve">Material Gehäuse:</w:t>
            </w:r>
          </w:p>
        </w:tc>
        <w:tc>
          <w:tcPr>
            <w:tcW w:w="3000" w:type="dxa"/>
          </w:tcPr>
          <w:p>
            <w:pPr>
              <w:jc w:val="right"/>
              <w:spacing w:before="0" w:after="0.1"/>
            </w:pPr>
            <w:r>
              <w:rPr>
                <w:rFonts w:ascii="Arial" w:hAnsi="Arial" w:eastAsia="Arial" w:cs="Arial"/>
                <w:sz w:val="20"/>
                <w:szCs w:val="20"/>
              </w:rPr>
              <w:t xml:space="preserve">Kunststoff</w:t>
            </w:r>
          </w:p>
        </w:tc>
      </w:tr>
      <w:tr>
        <w:trPr/>
        <w:tc>
          <w:tcPr>
            <w:tcW w:w="3000" w:type="dxa"/>
          </w:tcPr>
          <w:p>
            <w:r>
              <w:rPr>
                <w:rFonts w:ascii="Arial" w:hAnsi="Arial" w:eastAsia="Arial" w:cs="Arial"/>
                <w:sz w:val="20"/>
                <w:szCs w:val="20"/>
              </w:rPr>
              <w:t xml:space="preserve">Material Wärmetauscher:</w:t>
            </w:r>
          </w:p>
        </w:tc>
        <w:tc>
          <w:tcPr>
            <w:tcW w:w="3000" w:type="dxa"/>
          </w:tcPr>
          <w:p>
            <w:pPr>
              <w:jc w:val="right"/>
              <w:spacing w:before="0" w:after="0.1"/>
            </w:pPr>
            <w:r>
              <w:rPr>
                <w:rFonts w:ascii="Arial" w:hAnsi="Arial" w:eastAsia="Arial" w:cs="Arial"/>
                <w:sz w:val="20"/>
                <w:szCs w:val="20"/>
              </w:rPr>
              <w:t xml:space="preserve">Keramik</w:t>
            </w:r>
          </w:p>
        </w:tc>
      </w:tr>
      <w:tr>
        <w:trPr/>
        <w:tc>
          <w:tcPr>
            <w:tcW w:w="3000" w:type="dxa"/>
          </w:tcPr>
          <w:p>
            <w:r>
              <w:rPr>
                <w:rFonts w:ascii="Arial" w:hAnsi="Arial" w:eastAsia="Arial" w:cs="Arial"/>
                <w:sz w:val="20"/>
                <w:szCs w:val="20"/>
              </w:rPr>
              <w:t xml:space="preserve">Farbe:</w:t>
            </w:r>
          </w:p>
        </w:tc>
        <w:tc>
          <w:tcPr>
            <w:tcW w:w="3000" w:type="dxa"/>
          </w:tcPr>
          <w:p>
            <w:pPr>
              <w:jc w:val="right"/>
              <w:spacing w:before="0" w:after="0.1"/>
            </w:pPr>
            <w:r>
              <w:rPr>
                <w:rFonts w:ascii="Arial" w:hAnsi="Arial" w:eastAsia="Arial" w:cs="Arial"/>
                <w:sz w:val="20"/>
                <w:szCs w:val="20"/>
              </w:rPr>
              <w:t xml:space="preserve">verkehrsweiß, ähnlich RAL 9016</w:t>
            </w:r>
          </w:p>
        </w:tc>
      </w:tr>
      <w:tr>
        <w:trPr/>
        <w:tc>
          <w:tcPr>
            <w:tcW w:w="3000" w:type="dxa"/>
          </w:tcPr>
          <w:p>
            <w:r>
              <w:rPr>
                <w:rFonts w:ascii="Arial" w:hAnsi="Arial" w:eastAsia="Arial" w:cs="Arial"/>
                <w:sz w:val="20"/>
                <w:szCs w:val="20"/>
              </w:rPr>
              <w:t xml:space="preserve">Gewicht:</w:t>
            </w:r>
          </w:p>
        </w:tc>
        <w:tc>
          <w:tcPr>
            <w:tcW w:w="3000" w:type="dxa"/>
          </w:tcPr>
          <w:p>
            <w:pPr>
              <w:jc w:val="right"/>
              <w:spacing w:before="0" w:after="0.1"/>
            </w:pPr>
            <w:r>
              <w:rPr>
                <w:rFonts w:ascii="Arial" w:hAnsi="Arial" w:eastAsia="Arial" w:cs="Arial"/>
                <w:sz w:val="20"/>
                <w:szCs w:val="20"/>
              </w:rPr>
              <w:t xml:space="preserve">4,47 kg</w:t>
            </w:r>
          </w:p>
        </w:tc>
      </w:tr>
      <w:tr>
        <w:trPr/>
        <w:tc>
          <w:tcPr>
            <w:tcW w:w="3000" w:type="dxa"/>
          </w:tcPr>
          <w:p>
            <w:r>
              <w:rPr>
                <w:rFonts w:ascii="Arial" w:hAnsi="Arial" w:eastAsia="Arial" w:cs="Arial"/>
                <w:sz w:val="20"/>
                <w:szCs w:val="20"/>
              </w:rPr>
              <w:t xml:space="preserve">Gewicht mit Verpackung:</w:t>
            </w:r>
          </w:p>
        </w:tc>
        <w:tc>
          <w:tcPr>
            <w:tcW w:w="3000" w:type="dxa"/>
          </w:tcPr>
          <w:p>
            <w:pPr>
              <w:jc w:val="right"/>
              <w:spacing w:before="0" w:after="0.1"/>
            </w:pPr>
            <w:r>
              <w:rPr>
                <w:rFonts w:ascii="Arial" w:hAnsi="Arial" w:eastAsia="Arial" w:cs="Arial"/>
                <w:sz w:val="20"/>
                <w:szCs w:val="20"/>
              </w:rPr>
              <w:t xml:space="preserve">5,52 kg</w:t>
            </w:r>
          </w:p>
        </w:tc>
      </w:tr>
      <w:tr>
        <w:trPr/>
        <w:tc>
          <w:tcPr>
            <w:tcW w:w="3000" w:type="dxa"/>
          </w:tcPr>
          <w:p>
            <w:r>
              <w:rPr>
                <w:rFonts w:ascii="Arial" w:hAnsi="Arial" w:eastAsia="Arial" w:cs="Arial"/>
                <w:sz w:val="20"/>
                <w:szCs w:val="20"/>
              </w:rPr>
              <w:t xml:space="preserve">Filterart:</w:t>
            </w:r>
          </w:p>
        </w:tc>
        <w:tc>
          <w:tcPr>
            <w:tcW w:w="3000" w:type="dxa"/>
          </w:tcPr>
          <w:p>
            <w:pPr>
              <w:jc w:val="right"/>
              <w:spacing w:before="0" w:after="0.1"/>
            </w:pPr>
            <w:r>
              <w:rPr>
                <w:rFonts w:ascii="Arial" w:hAnsi="Arial" w:eastAsia="Arial" w:cs="Arial"/>
                <w:sz w:val="20"/>
                <w:szCs w:val="20"/>
              </w:rPr>
              <w:t xml:space="preserve">Außen- und Abluftfilter</w:t>
            </w:r>
          </w:p>
        </w:tc>
      </w:tr>
      <w:tr>
        <w:trPr/>
        <w:tc>
          <w:tcPr>
            <w:tcW w:w="3000" w:type="dxa"/>
          </w:tcPr>
          <w:p>
            <w:r>
              <w:rPr>
                <w:rFonts w:ascii="Arial" w:hAnsi="Arial" w:eastAsia="Arial" w:cs="Arial"/>
                <w:sz w:val="20"/>
                <w:szCs w:val="20"/>
              </w:rPr>
              <w:t xml:space="preserve">Filterklasse:</w:t>
            </w:r>
          </w:p>
        </w:tc>
        <w:tc>
          <w:tcPr>
            <w:tcW w:w="3000" w:type="dxa"/>
          </w:tcPr>
          <w:p>
            <w:pPr>
              <w:jc w:val="right"/>
              <w:spacing w:before="0" w:after="0.1"/>
            </w:pPr>
            <w:r>
              <w:rPr>
                <w:rFonts w:ascii="Arial" w:hAnsi="Arial" w:eastAsia="Arial" w:cs="Arial"/>
                <w:sz w:val="20"/>
                <w:szCs w:val="20"/>
              </w:rPr>
              <w:t xml:space="preserve">ISO Coarse 45 % (G3)</w:t>
            </w:r>
          </w:p>
        </w:tc>
      </w:tr>
      <w:tr>
        <w:trPr/>
        <w:tc>
          <w:tcPr>
            <w:tcW w:w="3000" w:type="dxa"/>
          </w:tcPr>
          <w:p>
            <w:r>
              <w:rPr>
                <w:rFonts w:ascii="Arial" w:hAnsi="Arial" w:eastAsia="Arial" w:cs="Arial"/>
                <w:sz w:val="20"/>
                <w:szCs w:val="20"/>
              </w:rPr>
              <w:t xml:space="preserve">Anschlussdurchmesser:</w:t>
            </w:r>
          </w:p>
        </w:tc>
        <w:tc>
          <w:tcPr>
            <w:tcW w:w="3000" w:type="dxa"/>
          </w:tcPr>
          <w:p>
            <w:pPr>
              <w:jc w:val="right"/>
              <w:spacing w:before="0" w:after="0.1"/>
            </w:pPr>
            <w:r>
              <w:rPr>
                <w:rFonts w:ascii="Arial" w:hAnsi="Arial" w:eastAsia="Arial" w:cs="Arial"/>
                <w:sz w:val="20"/>
                <w:szCs w:val="20"/>
              </w:rPr>
              <w:t xml:space="preserve">160 mm</w:t>
            </w:r>
          </w:p>
        </w:tc>
      </w:tr>
      <w:tr>
        <w:trPr/>
        <w:tc>
          <w:tcPr>
            <w:tcW w:w="3000" w:type="dxa"/>
          </w:tcPr>
          <w:p>
            <w:r>
              <w:rPr>
                <w:rFonts w:ascii="Arial" w:hAnsi="Arial" w:eastAsia="Arial" w:cs="Arial"/>
                <w:sz w:val="20"/>
                <w:szCs w:val="20"/>
              </w:rPr>
              <w:t xml:space="preserve">Breite:</w:t>
            </w:r>
          </w:p>
        </w:tc>
        <w:tc>
          <w:tcPr>
            <w:tcW w:w="3000" w:type="dxa"/>
          </w:tcPr>
          <w:p>
            <w:pPr>
              <w:jc w:val="right"/>
              <w:spacing w:before="0" w:after="0.1"/>
            </w:pPr>
            <w:r>
              <w:rPr>
                <w:rFonts w:ascii="Arial" w:hAnsi="Arial" w:eastAsia="Arial" w:cs="Arial"/>
                <w:sz w:val="20"/>
                <w:szCs w:val="20"/>
              </w:rPr>
              <w:t xml:space="preserve">275 mm</w:t>
            </w:r>
          </w:p>
        </w:tc>
      </w:tr>
      <w:tr>
        <w:trPr/>
        <w:tc>
          <w:tcPr>
            <w:tcW w:w="3000" w:type="dxa"/>
          </w:tcPr>
          <w:p>
            <w:r>
              <w:rPr>
                <w:rFonts w:ascii="Arial" w:hAnsi="Arial" w:eastAsia="Arial" w:cs="Arial"/>
                <w:sz w:val="20"/>
                <w:szCs w:val="20"/>
              </w:rPr>
              <w:t xml:space="preserve">Höhe:</w:t>
            </w:r>
          </w:p>
        </w:tc>
        <w:tc>
          <w:tcPr>
            <w:tcW w:w="3000" w:type="dxa"/>
          </w:tcPr>
          <w:p>
            <w:pPr>
              <w:jc w:val="right"/>
              <w:spacing w:before="0" w:after="0.1"/>
            </w:pPr>
            <w:r>
              <w:rPr>
                <w:rFonts w:ascii="Arial" w:hAnsi="Arial" w:eastAsia="Arial" w:cs="Arial"/>
                <w:sz w:val="20"/>
                <w:szCs w:val="20"/>
              </w:rPr>
              <w:t xml:space="preserve">275 mm</w:t>
            </w:r>
          </w:p>
        </w:tc>
      </w:tr>
      <w:tr>
        <w:trPr/>
        <w:tc>
          <w:tcPr>
            <w:tcW w:w="3000" w:type="dxa"/>
          </w:tcPr>
          <w:p>
            <w:r>
              <w:rPr>
                <w:rFonts w:ascii="Arial" w:hAnsi="Arial" w:eastAsia="Arial" w:cs="Arial"/>
                <w:sz w:val="20"/>
                <w:szCs w:val="20"/>
              </w:rPr>
              <w:t xml:space="preserve">Tiefe:</w:t>
            </w:r>
          </w:p>
        </w:tc>
        <w:tc>
          <w:tcPr>
            <w:tcW w:w="3000" w:type="dxa"/>
          </w:tcPr>
          <w:p>
            <w:pPr>
              <w:jc w:val="right"/>
              <w:spacing w:before="0" w:after="0.1"/>
            </w:pPr>
            <w:r>
              <w:rPr>
                <w:rFonts w:ascii="Arial" w:hAnsi="Arial" w:eastAsia="Arial" w:cs="Arial"/>
                <w:sz w:val="20"/>
                <w:szCs w:val="20"/>
              </w:rPr>
              <w:t xml:space="preserve">410 mm</w:t>
            </w:r>
          </w:p>
        </w:tc>
      </w:tr>
      <w:tr>
        <w:trPr/>
        <w:tc>
          <w:tcPr>
            <w:tcW w:w="3000" w:type="dxa"/>
          </w:tcPr>
          <w:p>
            <w:r>
              <w:rPr>
                <w:rFonts w:ascii="Arial" w:hAnsi="Arial" w:eastAsia="Arial" w:cs="Arial"/>
                <w:sz w:val="20"/>
                <w:szCs w:val="20"/>
              </w:rPr>
              <w:t xml:space="preserve">Breite mit Verpackung:</w:t>
            </w:r>
          </w:p>
        </w:tc>
        <w:tc>
          <w:tcPr>
            <w:tcW w:w="3000" w:type="dxa"/>
          </w:tcPr>
          <w:p>
            <w:pPr>
              <w:jc w:val="right"/>
              <w:spacing w:before="0" w:after="0.1"/>
            </w:pPr>
            <w:r>
              <w:rPr>
                <w:rFonts w:ascii="Arial" w:hAnsi="Arial" w:eastAsia="Arial" w:cs="Arial"/>
                <w:sz w:val="20"/>
                <w:szCs w:val="20"/>
              </w:rPr>
              <w:t xml:space="preserve">300 mm</w:t>
            </w:r>
          </w:p>
        </w:tc>
      </w:tr>
      <w:tr>
        <w:trPr/>
        <w:tc>
          <w:tcPr>
            <w:tcW w:w="3000" w:type="dxa"/>
          </w:tcPr>
          <w:p>
            <w:r>
              <w:rPr>
                <w:rFonts w:ascii="Arial" w:hAnsi="Arial" w:eastAsia="Arial" w:cs="Arial"/>
                <w:sz w:val="20"/>
                <w:szCs w:val="20"/>
              </w:rPr>
              <w:t xml:space="preserve">Höhe mit Verpackung:</w:t>
            </w:r>
          </w:p>
        </w:tc>
        <w:tc>
          <w:tcPr>
            <w:tcW w:w="3000" w:type="dxa"/>
          </w:tcPr>
          <w:p>
            <w:pPr>
              <w:jc w:val="right"/>
              <w:spacing w:before="0" w:after="0.1"/>
            </w:pPr>
            <w:r>
              <w:rPr>
                <w:rFonts w:ascii="Arial" w:hAnsi="Arial" w:eastAsia="Arial" w:cs="Arial"/>
                <w:sz w:val="20"/>
                <w:szCs w:val="20"/>
              </w:rPr>
              <w:t xml:space="preserve">330 mm</w:t>
            </w:r>
          </w:p>
        </w:tc>
      </w:tr>
      <w:tr>
        <w:trPr/>
        <w:tc>
          <w:tcPr>
            <w:tcW w:w="3000" w:type="dxa"/>
          </w:tcPr>
          <w:p>
            <w:r>
              <w:rPr>
                <w:rFonts w:ascii="Arial" w:hAnsi="Arial" w:eastAsia="Arial" w:cs="Arial"/>
                <w:sz w:val="20"/>
                <w:szCs w:val="20"/>
              </w:rPr>
              <w:t xml:space="preserve">Tiefe mit Verpackung:</w:t>
            </w:r>
          </w:p>
        </w:tc>
        <w:tc>
          <w:tcPr>
            <w:tcW w:w="3000" w:type="dxa"/>
          </w:tcPr>
          <w:p>
            <w:pPr>
              <w:jc w:val="right"/>
              <w:spacing w:before="0" w:after="0.1"/>
            </w:pPr>
            <w:r>
              <w:rPr>
                <w:rFonts w:ascii="Arial" w:hAnsi="Arial" w:eastAsia="Arial" w:cs="Arial"/>
                <w:sz w:val="20"/>
                <w:szCs w:val="20"/>
              </w:rPr>
              <w:t xml:space="preserve">500 mm</w:t>
            </w:r>
          </w:p>
        </w:tc>
      </w:tr>
      <w:tr>
        <w:trPr/>
        <w:tc>
          <w:tcPr>
            <w:tcW w:w="3000" w:type="dxa"/>
          </w:tcPr>
          <w:p>
            <w:r>
              <w:rPr>
                <w:rFonts w:ascii="Arial" w:hAnsi="Arial" w:eastAsia="Arial" w:cs="Arial"/>
                <w:sz w:val="20"/>
                <w:szCs w:val="20"/>
              </w:rPr>
              <w:t xml:space="preserve">Notwendiger Mauerdurchbruch:</w:t>
            </w:r>
          </w:p>
        </w:tc>
        <w:tc>
          <w:tcPr>
            <w:tcW w:w="3000" w:type="dxa"/>
          </w:tcPr>
          <w:p>
            <w:pPr>
              <w:jc w:val="right"/>
              <w:spacing w:before="0" w:after="0.1"/>
            </w:pPr>
            <w:r>
              <w:rPr>
                <w:rFonts w:ascii="Arial" w:hAnsi="Arial" w:eastAsia="Arial" w:cs="Arial"/>
                <w:sz w:val="20"/>
                <w:szCs w:val="20"/>
              </w:rPr>
              <w:t xml:space="preserve">162 bis 182 mm</w:t>
            </w:r>
          </w:p>
        </w:tc>
      </w:tr>
      <w:tr>
        <w:trPr/>
        <w:tc>
          <w:tcPr>
            <w:tcW w:w="3000" w:type="dxa"/>
          </w:tcPr>
          <w:p>
            <w:r>
              <w:rPr>
                <w:rFonts w:ascii="Arial" w:hAnsi="Arial" w:eastAsia="Arial" w:cs="Arial"/>
                <w:sz w:val="20"/>
                <w:szCs w:val="20"/>
              </w:rPr>
              <w:t xml:space="preserve">Mindestwandstärke:</w:t>
            </w:r>
          </w:p>
        </w:tc>
        <w:tc>
          <w:tcPr>
            <w:tcW w:w="3000" w:type="dxa"/>
          </w:tcPr>
          <w:p>
            <w:pPr>
              <w:jc w:val="right"/>
              <w:spacing w:before="0" w:after="0.1"/>
            </w:pPr>
            <w:r>
              <w:rPr>
                <w:rFonts w:ascii="Arial" w:hAnsi="Arial" w:eastAsia="Arial" w:cs="Arial"/>
                <w:sz w:val="20"/>
                <w:szCs w:val="20"/>
              </w:rPr>
              <w:t xml:space="preserve">320 mm</w:t>
            </w:r>
          </w:p>
        </w:tc>
      </w:tr>
      <w:tr>
        <w:trPr/>
        <w:tc>
          <w:tcPr>
            <w:tcW w:w="3000" w:type="dxa"/>
          </w:tcPr>
          <w:p>
            <w:r>
              <w:rPr>
                <w:rFonts w:ascii="Arial" w:hAnsi="Arial" w:eastAsia="Arial" w:cs="Arial"/>
                <w:sz w:val="20"/>
                <w:szCs w:val="20"/>
              </w:rPr>
              <w:t xml:space="preserve">Wärmebereitstellungsgrad beim Referenzvolumenstrom nach DIN EN 13141-8:</w:t>
            </w:r>
          </w:p>
        </w:tc>
        <w:tc>
          <w:tcPr>
            <w:tcW w:w="3000" w:type="dxa"/>
          </w:tcPr>
          <w:p>
            <w:pPr>
              <w:jc w:val="right"/>
              <w:spacing w:before="0" w:after="0.1"/>
            </w:pPr>
            <w:r>
              <w:rPr>
                <w:rFonts w:ascii="Arial" w:hAnsi="Arial" w:eastAsia="Arial" w:cs="Arial"/>
                <w:sz w:val="20"/>
                <w:szCs w:val="20"/>
              </w:rPr>
              <w:t xml:space="preserve">73,3 %</w:t>
            </w:r>
          </w:p>
        </w:tc>
      </w:tr>
      <w:tr>
        <w:trPr/>
        <w:tc>
          <w:tcPr>
            <w:tcW w:w="3000" w:type="dxa"/>
          </w:tcPr>
          <w:p>
            <w:r>
              <w:rPr>
                <w:rFonts w:ascii="Arial" w:hAnsi="Arial" w:eastAsia="Arial" w:cs="Arial"/>
                <w:sz w:val="20"/>
                <w:szCs w:val="20"/>
              </w:rPr>
              <w:t xml:space="preserve">Notwendige Raumluftsteuerung:</w:t>
            </w:r>
          </w:p>
        </w:tc>
        <w:tc>
          <w:tcPr>
            <w:tcW w:w="3000" w:type="dxa"/>
          </w:tcPr>
          <w:p>
            <w:pPr>
              <w:jc w:val="right"/>
              <w:spacing w:before="0" w:after="0.1"/>
            </w:pPr>
            <w:r>
              <w:rPr>
                <w:rFonts w:ascii="Arial" w:hAnsi="Arial" w:eastAsia="Arial" w:cs="Arial"/>
                <w:sz w:val="20"/>
                <w:szCs w:val="20"/>
              </w:rPr>
              <w:t xml:space="preserve">DS 45 RC oder RLS 45 K mit PP 45 EO</w:t>
            </w:r>
          </w:p>
        </w:tc>
      </w:tr>
      <w:tr>
        <w:trPr/>
        <w:tc>
          <w:tcPr>
            <w:tcW w:w="3000" w:type="dxa"/>
          </w:tcPr>
          <w:p>
            <w:r>
              <w:rPr>
                <w:rFonts w:ascii="Arial" w:hAnsi="Arial" w:eastAsia="Arial" w:cs="Arial"/>
                <w:sz w:val="20"/>
                <w:szCs w:val="20"/>
              </w:rPr>
              <w:t xml:space="preserve">Schalldruckpegel:</w:t>
            </w:r>
          </w:p>
        </w:tc>
        <w:tc>
          <w:tcPr>
            <w:tcW w:w="3000" w:type="dxa"/>
          </w:tcPr>
          <w:p>
            <w:pPr>
              <w:jc w:val="right"/>
              <w:spacing w:before="0" w:after="0.1"/>
            </w:pPr>
            <w:r>
              <w:rPr>
                <w:rFonts w:ascii="Arial" w:hAnsi="Arial" w:eastAsia="Arial" w:cs="Arial"/>
                <w:sz w:val="20"/>
                <w:szCs w:val="20"/>
              </w:rPr>
              <w:t xml:space="preserve">23 dB(A) / 35 dB(A) / 43 dB(A) / 48 dB(A) / 51 dB(A) Abstand 1 m, Freifeldbedingungen</w:t>
            </w:r>
          </w:p>
        </w:tc>
      </w:tr>
      <w:tr>
        <w:trPr/>
        <w:tc>
          <w:tcPr>
            <w:tcW w:w="3000" w:type="dxa"/>
          </w:tcPr>
          <w:p>
            <w:r>
              <w:rPr>
                <w:rFonts w:ascii="Arial" w:hAnsi="Arial" w:eastAsia="Arial" w:cs="Arial"/>
                <w:sz w:val="20"/>
                <w:szCs w:val="20"/>
              </w:rPr>
              <w:t xml:space="preserve">Bewertete max. Element-Normschallpegeldifferenz D</w:t>
            </w:r>
            <w:r>
              <w:rPr>
                <w:rFonts w:ascii="Arial" w:hAnsi="Arial" w:eastAsia="Arial" w:cs="Arial"/>
                <w:sz w:val="20"/>
                <w:szCs w:val="20"/>
                <w:vertAlign w:val="subscript"/>
              </w:rPr>
              <w:t xml:space="preserve">n,w</w:t>
            </w:r>
            <w:r>
              <w:rPr>
                <w:rFonts w:ascii="Arial" w:hAnsi="Arial" w:eastAsia="Arial" w:cs="Arial"/>
                <w:sz w:val="20"/>
                <w:szCs w:val="20"/>
              </w:rPr>
              <w:t xml:space="preserve">:</w:t>
            </w:r>
          </w:p>
        </w:tc>
        <w:tc>
          <w:tcPr>
            <w:tcW w:w="3000" w:type="dxa"/>
          </w:tcPr>
          <w:p>
            <w:pPr>
              <w:jc w:val="right"/>
              <w:spacing w:before="0" w:after="0.1"/>
            </w:pPr>
            <w:r>
              <w:rPr>
                <w:rFonts w:ascii="Arial" w:hAnsi="Arial" w:eastAsia="Arial" w:cs="Arial"/>
                <w:sz w:val="20"/>
                <w:szCs w:val="20"/>
              </w:rPr>
              <w:t xml:space="preserve">37 dB</w:t>
            </w:r>
          </w:p>
        </w:tc>
      </w:tr>
      <w:tr>
        <w:trPr/>
        <w:tc>
          <w:tcPr>
            <w:tcW w:w="3000" w:type="dxa"/>
          </w:tcPr>
          <w:p>
            <w:r>
              <w:rPr>
                <w:rFonts w:ascii="Arial" w:hAnsi="Arial" w:eastAsia="Arial" w:cs="Arial"/>
                <w:sz w:val="20"/>
                <w:szCs w:val="20"/>
              </w:rPr>
              <w:t xml:space="preserve">Verpackungseinheit:</w:t>
            </w:r>
          </w:p>
        </w:tc>
        <w:tc>
          <w:tcPr>
            <w:tcW w:w="3000" w:type="dxa"/>
          </w:tcPr>
          <w:p>
            <w:pPr>
              <w:jc w:val="right"/>
              <w:spacing w:before="0" w:after="0.1"/>
            </w:pPr>
            <w:r>
              <w:rPr>
                <w:rFonts w:ascii="Arial" w:hAnsi="Arial" w:eastAsia="Arial" w:cs="Arial"/>
                <w:sz w:val="20"/>
                <w:szCs w:val="20"/>
              </w:rPr>
              <w:t xml:space="preserve">1 Stück</w:t>
            </w:r>
          </w:p>
        </w:tc>
      </w:tr>
      <w:tr>
        <w:trPr/>
        <w:tc>
          <w:tcPr>
            <w:tcW w:w="3000" w:type="dxa"/>
          </w:tcPr>
          <w:p>
            <w:r>
              <w:rPr>
                <w:rFonts w:ascii="Arial" w:hAnsi="Arial" w:eastAsia="Arial" w:cs="Arial"/>
                <w:sz w:val="20"/>
                <w:szCs w:val="20"/>
              </w:rPr>
              <w:t xml:space="preserve">Sortiment:</w:t>
            </w:r>
          </w:p>
        </w:tc>
        <w:tc>
          <w:tcPr>
            <w:tcW w:w="3000" w:type="dxa"/>
          </w:tcPr>
          <w:p>
            <w:pPr>
              <w:jc w:val="right"/>
              <w:spacing w:before="0" w:after="0.1"/>
            </w:pPr>
            <w:r>
              <w:rPr>
                <w:rFonts w:ascii="Arial" w:hAnsi="Arial" w:eastAsia="Arial" w:cs="Arial"/>
                <w:sz w:val="20"/>
                <w:szCs w:val="20"/>
              </w:rPr>
              <w:t xml:space="preserve">K</w:t>
            </w:r>
          </w:p>
        </w:tc>
      </w:tr>
      <w:tr>
        <w:trPr/>
        <w:tc>
          <w:tcPr>
            <w:tcW w:w="3000" w:type="dxa"/>
          </w:tcPr>
          <w:p>
            <w:r>
              <w:rPr>
                <w:rFonts w:ascii="Arial" w:hAnsi="Arial" w:eastAsia="Arial" w:cs="Arial"/>
                <w:sz w:val="20"/>
                <w:szCs w:val="20"/>
              </w:rPr>
              <w:t xml:space="preserve">GTIN (EAN):</w:t>
            </w:r>
          </w:p>
        </w:tc>
        <w:tc>
          <w:tcPr>
            <w:tcW w:w="3000" w:type="dxa"/>
          </w:tcPr>
          <w:p>
            <w:pPr>
              <w:jc w:val="right"/>
              <w:spacing w:before="0" w:after="0.1"/>
            </w:pPr>
            <w:r>
              <w:rPr>
                <w:rFonts w:ascii="Arial" w:hAnsi="Arial" w:eastAsia="Arial" w:cs="Arial"/>
                <w:sz w:val="20"/>
                <w:szCs w:val="20"/>
              </w:rPr>
              <w:t xml:space="preserve">4012799952442</w:t>
            </w:r>
          </w:p>
        </w:tc>
      </w:tr>
      <w:tr>
        <w:trPr/>
        <w:tc>
          <w:tcPr>
            <w:tcW w:w="3000" w:type="dxa"/>
          </w:tcPr>
          <w:p>
            <w:r>
              <w:rPr>
                <w:rFonts w:ascii="Arial" w:hAnsi="Arial" w:eastAsia="Arial" w:cs="Arial"/>
                <w:sz w:val="20"/>
                <w:szCs w:val="20"/>
              </w:rPr>
              <w:t xml:space="preserve">Artikelnummer:</w:t>
            </w:r>
          </w:p>
        </w:tc>
        <w:tc>
          <w:tcPr>
            <w:tcW w:w="3000" w:type="dxa"/>
          </w:tcPr>
          <w:p>
            <w:pPr>
              <w:jc w:val="right"/>
              <w:spacing w:before="0" w:after="0.1"/>
            </w:pPr>
            <w:r>
              <w:rPr>
                <w:rFonts w:ascii="Arial" w:hAnsi="Arial" w:eastAsia="Arial" w:cs="Arial"/>
                <w:sz w:val="20"/>
                <w:szCs w:val="20"/>
              </w:rPr>
              <w:t xml:space="preserve">0095.0244</w:t>
            </w:r>
          </w:p>
        </w:tc>
      </w:tr>
    </w:tbl>
    <w:p>
      <w:pPr/>
      <w:r>
        <w:rPr>
          <w:rFonts w:ascii="Arial" w:hAnsi="Arial" w:eastAsia="Arial" w:cs="Arial"/>
          <w:sz w:val="24"/>
          <w:szCs w:val="24"/>
        </w:rPr>
        <w:t xml:space="preserve">Hersteller: MAICO</w:t>
      </w:r>
    </w:p>
    <w:p>
      <w:pPr/>
      <w:r>
        <w:rPr>
          <w:rFonts w:ascii="Arial" w:hAnsi="Arial" w:eastAsia="Arial" w:cs="Arial"/>
          <w:sz w:val="24"/>
          <w:szCs w:val="24"/>
        </w:rPr>
        <w:t xml:space="preserve">PPB 30 RC Endmontage-Set</w:t>
      </w:r>
    </w:p>
    <w:sectPr>
      <w:pgSz w:orient="portrait" w:w="11870" w:h="16787"/>
      <w:pgMar w:top="852" w:right="852" w:bottom="852" w:left="1278"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2024-09-19T01:10:11+00:00</dcterms:created>
  <dcterms:modified xsi:type="dcterms:W3CDTF">2024-09-19T01:10:11+00:00</dcterms:modified>
</cp:coreProperties>
</file>

<file path=docProps/custom.xml><?xml version="1.0" encoding="utf-8"?>
<Properties xmlns="http://schemas.openxmlformats.org/officeDocument/2006/custom-properties" xmlns:vt="http://schemas.openxmlformats.org/officeDocument/2006/docPropsVTypes"/>
</file>